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185F754B"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28353C10" w14:textId="77777777" w:rsidR="00CA5170" w:rsidRPr="00CA5170" w:rsidRDefault="00CA5170" w:rsidP="00CA5170">
            <w:pPr>
              <w:rPr>
                <w:rFonts w:ascii="Calibri" w:hAnsi="Calibri"/>
                <w:sz w:val="20"/>
                <w:szCs w:val="20"/>
              </w:rPr>
            </w:pPr>
            <w:r w:rsidRPr="00CA5170">
              <w:rPr>
                <w:rFonts w:ascii="Calibri" w:hAnsi="Calibri"/>
                <w:sz w:val="20"/>
                <w:szCs w:val="20"/>
              </w:rPr>
              <w:t>ACPE #:</w:t>
            </w:r>
          </w:p>
          <w:p w14:paraId="1D4DEBCF" w14:textId="77777777" w:rsidR="00CA5170" w:rsidRPr="00CA5170" w:rsidRDefault="00CA5170" w:rsidP="00CA5170">
            <w:pPr>
              <w:rPr>
                <w:rFonts w:ascii="Calibri" w:hAnsi="Calibri"/>
                <w:sz w:val="20"/>
                <w:szCs w:val="20"/>
              </w:rPr>
            </w:pPr>
            <w:r w:rsidRPr="00CA5170">
              <w:rPr>
                <w:rFonts w:ascii="Calibri" w:hAnsi="Calibri"/>
                <w:sz w:val="20"/>
                <w:szCs w:val="20"/>
              </w:rPr>
              <w:t>0204-9999-20-418-H04P</w:t>
            </w:r>
          </w:p>
          <w:p w14:paraId="515C2E4D" w14:textId="77777777" w:rsidR="00CA5170" w:rsidRPr="00CA5170" w:rsidRDefault="00CA5170" w:rsidP="00CA5170">
            <w:pPr>
              <w:rPr>
                <w:rFonts w:ascii="Calibri" w:hAnsi="Calibri"/>
                <w:sz w:val="20"/>
                <w:szCs w:val="20"/>
              </w:rPr>
            </w:pPr>
          </w:p>
          <w:p w14:paraId="58693276" w14:textId="77777777" w:rsidR="00CA5170" w:rsidRPr="00CA5170" w:rsidRDefault="00CA5170" w:rsidP="00CA5170">
            <w:pPr>
              <w:rPr>
                <w:rFonts w:ascii="Calibri" w:hAnsi="Calibri"/>
                <w:sz w:val="20"/>
                <w:szCs w:val="20"/>
              </w:rPr>
            </w:pPr>
            <w:r w:rsidRPr="00CA5170">
              <w:rPr>
                <w:rFonts w:ascii="Calibri" w:hAnsi="Calibri"/>
                <w:sz w:val="20"/>
                <w:szCs w:val="20"/>
              </w:rPr>
              <w:t>CE Hours: 0.75</w:t>
            </w:r>
          </w:p>
          <w:p w14:paraId="56C1C7AF" w14:textId="77777777" w:rsidR="00CA5170" w:rsidRPr="00CA5170" w:rsidRDefault="00CA5170" w:rsidP="00CA5170">
            <w:pPr>
              <w:rPr>
                <w:rFonts w:ascii="Calibri" w:hAnsi="Calibri"/>
                <w:sz w:val="20"/>
                <w:szCs w:val="20"/>
              </w:rPr>
            </w:pPr>
          </w:p>
          <w:p w14:paraId="63167736" w14:textId="77777777" w:rsidR="00CA5170" w:rsidRPr="00CA5170" w:rsidRDefault="00CA5170" w:rsidP="00CA5170">
            <w:pPr>
              <w:rPr>
                <w:rFonts w:ascii="Calibri" w:hAnsi="Calibri"/>
                <w:sz w:val="20"/>
                <w:szCs w:val="20"/>
              </w:rPr>
            </w:pPr>
            <w:r w:rsidRPr="00CA5170">
              <w:rPr>
                <w:rFonts w:ascii="Calibri" w:hAnsi="Calibri"/>
                <w:sz w:val="20"/>
                <w:szCs w:val="20"/>
              </w:rPr>
              <w:t>Activity Type: Knowledge-based</w:t>
            </w:r>
          </w:p>
          <w:p w14:paraId="1F5D71FD" w14:textId="77777777" w:rsidR="00B30D9C" w:rsidRPr="001C6D8E" w:rsidRDefault="00B30D9C" w:rsidP="00601D9E">
            <w:pPr>
              <w:rPr>
                <w:rFonts w:ascii="Calibri" w:hAnsi="Calibri"/>
                <w:sz w:val="20"/>
                <w:szCs w:val="20"/>
                <w:highlight w:val="yellow"/>
              </w:rPr>
            </w:pPr>
          </w:p>
          <w:p w14:paraId="670F70E7" w14:textId="53516EC8" w:rsidR="00B30D9C" w:rsidRPr="001C6D8E" w:rsidRDefault="00B30D9C" w:rsidP="00601D9E">
            <w:pPr>
              <w:rPr>
                <w:rFonts w:ascii="Calibri" w:hAnsi="Calibri"/>
                <w:sz w:val="20"/>
                <w:szCs w:val="20"/>
                <w:highlight w:val="yellow"/>
              </w:rPr>
            </w:pPr>
          </w:p>
        </w:tc>
        <w:tc>
          <w:tcPr>
            <w:tcW w:w="5146" w:type="dxa"/>
          </w:tcPr>
          <w:p w14:paraId="6F0FA1AC" w14:textId="33BCF4EE" w:rsidR="00B30D9C" w:rsidRPr="00CA5170"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A5170">
              <w:rPr>
                <w:rFonts w:ascii="Calibri" w:hAnsi="Calibri"/>
                <w:b/>
                <w:sz w:val="20"/>
                <w:szCs w:val="20"/>
              </w:rPr>
              <w:t>Title:</w:t>
            </w:r>
            <w:r w:rsidRPr="00CA5170">
              <w:rPr>
                <w:rFonts w:ascii="Calibri" w:hAnsi="Calibri"/>
                <w:sz w:val="20"/>
                <w:szCs w:val="20"/>
              </w:rPr>
              <w:t xml:space="preserve"> </w:t>
            </w:r>
            <w:r w:rsidR="00CA5170" w:rsidRPr="00CA5170">
              <w:rPr>
                <w:rFonts w:ascii="Calibri" w:hAnsi="Calibri"/>
                <w:b/>
                <w:noProof/>
                <w:sz w:val="20"/>
                <w:szCs w:val="20"/>
              </w:rPr>
              <w:t>Preceptor and Learner Well-being</w:t>
            </w:r>
          </w:p>
          <w:p w14:paraId="45BA3BD2" w14:textId="77777777" w:rsidR="00B30D9C" w:rsidRPr="00CA5170"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495B657" w14:textId="77777777" w:rsidR="00B30D9C" w:rsidRPr="00CA5170"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A5170">
              <w:rPr>
                <w:rFonts w:ascii="Calibri" w:hAnsi="Calibri"/>
                <w:sz w:val="20"/>
                <w:szCs w:val="20"/>
              </w:rPr>
              <w:t>Faculty:</w:t>
            </w:r>
          </w:p>
          <w:p w14:paraId="1C5DC83D" w14:textId="77777777" w:rsidR="00CA5170" w:rsidRPr="00CA5170" w:rsidRDefault="00CA5170" w:rsidP="00CA517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b/>
                <w:sz w:val="20"/>
                <w:szCs w:val="20"/>
              </w:rPr>
            </w:pPr>
            <w:r w:rsidRPr="00CA5170">
              <w:rPr>
                <w:rFonts w:eastAsia="Calibri"/>
                <w:b/>
                <w:sz w:val="20"/>
                <w:szCs w:val="20"/>
              </w:rPr>
              <w:t xml:space="preserve">Hannah E. Johnson, </w:t>
            </w:r>
            <w:proofErr w:type="spellStart"/>
            <w:r w:rsidRPr="00CA5170">
              <w:rPr>
                <w:rFonts w:eastAsia="Calibri"/>
                <w:b/>
                <w:sz w:val="20"/>
                <w:szCs w:val="20"/>
              </w:rPr>
              <w:t>PharmD</w:t>
            </w:r>
            <w:proofErr w:type="spellEnd"/>
            <w:r w:rsidRPr="00CA5170">
              <w:rPr>
                <w:rFonts w:eastAsia="Calibri"/>
                <w:b/>
                <w:sz w:val="20"/>
                <w:szCs w:val="20"/>
              </w:rPr>
              <w:t>, BCPS, BCPP</w:t>
            </w:r>
          </w:p>
          <w:p w14:paraId="0815157F" w14:textId="77777777" w:rsidR="00CA5170" w:rsidRPr="00E7471B" w:rsidRDefault="00CA5170" w:rsidP="00CA5170">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E7471B">
              <w:rPr>
                <w:rFonts w:ascii="Calibri" w:hAnsi="Calibri"/>
                <w:noProof/>
                <w:sz w:val="20"/>
                <w:szCs w:val="20"/>
              </w:rPr>
              <w:t>This module discusses strategies to promote well-being for learners and preceptors.</w:t>
            </w:r>
          </w:p>
          <w:p w14:paraId="2D47C55A" w14:textId="77777777" w:rsidR="000C7193" w:rsidRPr="001C6D8E" w:rsidRDefault="000C7193"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51BC5A07" w14:textId="77777777" w:rsidR="00B30D9C" w:rsidRPr="00CA5170"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A5170">
              <w:rPr>
                <w:rFonts w:ascii="Calibri" w:hAnsi="Calibri"/>
                <w:b/>
                <w:sz w:val="20"/>
                <w:szCs w:val="20"/>
              </w:rPr>
              <w:t>Learning Objectives:</w:t>
            </w:r>
          </w:p>
          <w:p w14:paraId="4EC576C6" w14:textId="77777777" w:rsidR="00CA5170" w:rsidRPr="00E7471B" w:rsidRDefault="00CA5170" w:rsidP="00CA517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E7471B">
              <w:rPr>
                <w:rFonts w:ascii="Calibri" w:hAnsi="Calibri"/>
                <w:noProof/>
                <w:sz w:val="20"/>
                <w:szCs w:val="20"/>
              </w:rPr>
              <w:t>Discuss the importance of learner well-being.</w:t>
            </w:r>
          </w:p>
          <w:p w14:paraId="25AACFDC" w14:textId="77777777" w:rsidR="00CA5170" w:rsidRDefault="00CA5170" w:rsidP="00CA517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E7471B">
              <w:rPr>
                <w:rFonts w:ascii="Calibri" w:hAnsi="Calibri"/>
                <w:noProof/>
                <w:sz w:val="20"/>
                <w:szCs w:val="20"/>
              </w:rPr>
              <w:t>Describe methods to incorporate well-being into rotation.</w:t>
            </w:r>
          </w:p>
          <w:p w14:paraId="601B74DF" w14:textId="1F3A9675" w:rsidR="00B30D9C" w:rsidRPr="00CA5170" w:rsidRDefault="00CA5170" w:rsidP="00CA517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CA5170">
              <w:rPr>
                <w:rFonts w:ascii="Calibri" w:hAnsi="Calibri"/>
                <w:noProof/>
                <w:sz w:val="20"/>
                <w:szCs w:val="20"/>
              </w:rPr>
              <w:t>List strategies to improve preceptor work-life integration.</w:t>
            </w:r>
          </w:p>
        </w:tc>
      </w:tr>
    </w:tbl>
    <w:p w14:paraId="08A287DC" w14:textId="77777777" w:rsidR="00A02575" w:rsidRDefault="00A02575" w:rsidP="00601D9E"/>
    <w:p w14:paraId="59FF9581" w14:textId="77777777" w:rsidR="00854AE3" w:rsidRDefault="00854AE3" w:rsidP="00601D9E">
      <w:pPr>
        <w:pBdr>
          <w:bottom w:val="single" w:sz="6" w:space="1" w:color="auto"/>
        </w:pBdr>
        <w:rPr>
          <w:b/>
          <w:color w:val="000099"/>
          <w:sz w:val="24"/>
        </w:rPr>
      </w:pPr>
    </w:p>
    <w:p w14:paraId="7981644E" w14:textId="77777777" w:rsidR="009D37D3" w:rsidRDefault="009D37D3">
      <w:pPr>
        <w:rPr>
          <w:b/>
          <w:color w:val="000099"/>
          <w:sz w:val="24"/>
        </w:rPr>
      </w:pPr>
      <w:r>
        <w:rPr>
          <w:b/>
          <w:color w:val="000099"/>
          <w:sz w:val="24"/>
        </w:rPr>
        <w:br w:type="page"/>
      </w:r>
    </w:p>
    <w:p w14:paraId="56C97033" w14:textId="619A5A27" w:rsidR="00BD6CB1" w:rsidRDefault="00BD6CB1" w:rsidP="00601D9E">
      <w:pPr>
        <w:pBdr>
          <w:bottom w:val="single" w:sz="6" w:space="1" w:color="auto"/>
        </w:pBdr>
        <w:rPr>
          <w:b/>
          <w:color w:val="000099"/>
          <w:sz w:val="24"/>
        </w:rPr>
      </w:pPr>
      <w:bookmarkStart w:id="0" w:name="_GoBack"/>
      <w:bookmarkEnd w:id="0"/>
      <w:r>
        <w:rPr>
          <w:b/>
          <w:color w:val="000099"/>
          <w:sz w:val="24"/>
        </w:rPr>
        <w:lastRenderedPageBreak/>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0E8E558D"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9D37D3">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65D20"/>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D37D3"/>
    <w:rsid w:val="009E238B"/>
    <w:rsid w:val="009F138E"/>
    <w:rsid w:val="00A02575"/>
    <w:rsid w:val="00A02D70"/>
    <w:rsid w:val="00A278BB"/>
    <w:rsid w:val="00A509D9"/>
    <w:rsid w:val="00AA7F23"/>
    <w:rsid w:val="00AB1B0F"/>
    <w:rsid w:val="00AB332B"/>
    <w:rsid w:val="00AE1859"/>
    <w:rsid w:val="00AF1F5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8352-30BD-42D5-9DEE-65FBAF74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2020-11-09T20:31:00Z</dcterms:created>
  <dcterms:modified xsi:type="dcterms:W3CDTF">2020-11-09T20:32:00Z</dcterms:modified>
</cp:coreProperties>
</file>