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422" w:rsidRPr="00935DD9" w:rsidRDefault="002B0E06" w:rsidP="00874C6B">
      <w:pPr>
        <w:pBdr>
          <w:bottom w:val="single" w:sz="6" w:space="1" w:color="auto"/>
        </w:pBdr>
        <w:tabs>
          <w:tab w:val="left" w:pos="9180"/>
        </w:tabs>
        <w:rPr>
          <w:b/>
          <w:color w:val="000099"/>
          <w:sz w:val="24"/>
        </w:rPr>
      </w:pPr>
      <w:r>
        <w:rPr>
          <w:b/>
          <w:color w:val="000099"/>
          <w:sz w:val="24"/>
        </w:rPr>
        <w:t>Clinical Skills Certificate for International Pharmacy</w:t>
      </w:r>
    </w:p>
    <w:p w:rsidR="0000662F" w:rsidRPr="007D7BFA" w:rsidRDefault="00773422" w:rsidP="00874C6B">
      <w:pPr>
        <w:rPr>
          <w:sz w:val="20"/>
          <w:szCs w:val="20"/>
        </w:rPr>
      </w:pPr>
      <w:r w:rsidRPr="003C7D84">
        <w:rPr>
          <w:b/>
          <w:sz w:val="20"/>
          <w:szCs w:val="20"/>
        </w:rPr>
        <w:t>Release</w:t>
      </w:r>
      <w:r w:rsidR="0000662F" w:rsidRPr="003C7D84">
        <w:rPr>
          <w:b/>
          <w:sz w:val="20"/>
          <w:szCs w:val="20"/>
        </w:rPr>
        <w:t xml:space="preserve"> Date:</w:t>
      </w:r>
      <w:r w:rsidR="0000662F" w:rsidRPr="007D7BFA">
        <w:rPr>
          <w:sz w:val="20"/>
          <w:szCs w:val="20"/>
        </w:rPr>
        <w:t xml:space="preserve">  </w:t>
      </w:r>
      <w:r w:rsidR="002B0E06">
        <w:rPr>
          <w:sz w:val="20"/>
          <w:szCs w:val="20"/>
        </w:rPr>
        <w:t>September 5,</w:t>
      </w:r>
      <w:r w:rsidR="00B86E12">
        <w:rPr>
          <w:sz w:val="20"/>
          <w:szCs w:val="20"/>
        </w:rPr>
        <w:t xml:space="preserve"> 2018</w:t>
      </w:r>
    </w:p>
    <w:p w:rsidR="00773422" w:rsidRPr="007D7BFA" w:rsidRDefault="0000662F" w:rsidP="00874C6B">
      <w:pPr>
        <w:rPr>
          <w:sz w:val="20"/>
          <w:szCs w:val="20"/>
        </w:rPr>
      </w:pPr>
      <w:r w:rsidRPr="003C7D84">
        <w:rPr>
          <w:b/>
          <w:sz w:val="20"/>
          <w:szCs w:val="20"/>
        </w:rPr>
        <w:t>Expiration Date</w:t>
      </w:r>
      <w:r w:rsidR="00773422" w:rsidRPr="003C7D84">
        <w:rPr>
          <w:b/>
          <w:sz w:val="20"/>
          <w:szCs w:val="20"/>
        </w:rPr>
        <w:t>:</w:t>
      </w:r>
      <w:r w:rsidRPr="003C7D84">
        <w:rPr>
          <w:b/>
          <w:sz w:val="20"/>
          <w:szCs w:val="20"/>
        </w:rPr>
        <w:t xml:space="preserve"> </w:t>
      </w:r>
      <w:r w:rsidR="002B0E06">
        <w:rPr>
          <w:sz w:val="20"/>
          <w:szCs w:val="20"/>
        </w:rPr>
        <w:t xml:space="preserve">September 5, </w:t>
      </w:r>
      <w:r w:rsidR="00B86E12">
        <w:rPr>
          <w:sz w:val="20"/>
          <w:szCs w:val="20"/>
        </w:rPr>
        <w:t>2021</w:t>
      </w:r>
    </w:p>
    <w:p w:rsidR="003C7D84" w:rsidRDefault="004A0161" w:rsidP="00874C6B">
      <w:pPr>
        <w:rPr>
          <w:b/>
          <w:sz w:val="20"/>
          <w:szCs w:val="20"/>
        </w:rPr>
      </w:pPr>
      <w:r>
        <w:rPr>
          <w:b/>
          <w:sz w:val="20"/>
          <w:szCs w:val="20"/>
        </w:rPr>
        <w:t xml:space="preserve">Activity Type: </w:t>
      </w:r>
      <w:r w:rsidRPr="004A0161">
        <w:rPr>
          <w:sz w:val="20"/>
          <w:szCs w:val="20"/>
        </w:rPr>
        <w:t>Knowledge-based</w:t>
      </w:r>
    </w:p>
    <w:p w:rsidR="004A0161" w:rsidRDefault="004A0161" w:rsidP="00874C6B"/>
    <w:p w:rsidR="00773422" w:rsidRPr="00935DD9" w:rsidRDefault="00773422" w:rsidP="00874C6B">
      <w:pPr>
        <w:pBdr>
          <w:bottom w:val="single" w:sz="6" w:space="1" w:color="auto"/>
        </w:pBdr>
        <w:rPr>
          <w:b/>
          <w:color w:val="000099"/>
          <w:sz w:val="24"/>
        </w:rPr>
      </w:pPr>
      <w:r w:rsidRPr="00935DD9">
        <w:rPr>
          <w:b/>
          <w:color w:val="000099"/>
          <w:sz w:val="24"/>
        </w:rPr>
        <w:t>Accreditation for Pharmacists</w:t>
      </w:r>
    </w:p>
    <w:p w:rsidR="00773422" w:rsidRPr="00935DD9" w:rsidRDefault="00773422" w:rsidP="00874C6B">
      <w:pPr>
        <w:rPr>
          <w:sz w:val="20"/>
        </w:rPr>
      </w:pPr>
      <w:r w:rsidRPr="00935DD9">
        <w:rPr>
          <w:noProof/>
          <w:sz w:val="20"/>
        </w:rPr>
        <w:drawing>
          <wp:anchor distT="0" distB="0" distL="114300" distR="114300" simplePos="0" relativeHeight="251661312" behindDoc="0" locked="0" layoutInCell="1" allowOverlap="1" wp14:anchorId="78DFCBB6" wp14:editId="3C96FE0D">
            <wp:simplePos x="0" y="0"/>
            <wp:positionH relativeFrom="column">
              <wp:posOffset>15240</wp:posOffset>
            </wp:positionH>
            <wp:positionV relativeFrom="paragraph">
              <wp:posOffset>71755</wp:posOffset>
            </wp:positionV>
            <wp:extent cx="472440" cy="407035"/>
            <wp:effectExtent l="0" t="0" r="0" b="0"/>
            <wp:wrapSquare wrapText="bothSides"/>
            <wp:docPr id="1" name="Picture 0" descr="ACP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PE Logo.jpg"/>
                    <pic:cNvPicPr/>
                  </pic:nvPicPr>
                  <pic:blipFill>
                    <a:blip r:embed="rId8" cstate="print"/>
                    <a:stretch>
                      <a:fillRect/>
                    </a:stretch>
                  </pic:blipFill>
                  <pic:spPr>
                    <a:xfrm>
                      <a:off x="0" y="0"/>
                      <a:ext cx="472440" cy="407035"/>
                    </a:xfrm>
                    <a:prstGeom prst="rect">
                      <a:avLst/>
                    </a:prstGeom>
                  </pic:spPr>
                </pic:pic>
              </a:graphicData>
            </a:graphic>
            <wp14:sizeRelH relativeFrom="margin">
              <wp14:pctWidth>0</wp14:pctWidth>
            </wp14:sizeRelH>
            <wp14:sizeRelV relativeFrom="margin">
              <wp14:pctHeight>0</wp14:pctHeight>
            </wp14:sizeRelV>
          </wp:anchor>
        </w:drawing>
      </w:r>
      <w:r w:rsidRPr="00935DD9">
        <w:rPr>
          <w:sz w:val="20"/>
        </w:rPr>
        <w:t xml:space="preserve">The American Society of Health-System Pharmacists is accredited by the Accreditation Council for Pharmacy Education as a provider of continuing pharmacy education. </w:t>
      </w:r>
      <w:r w:rsidR="00FE06C7">
        <w:rPr>
          <w:sz w:val="20"/>
        </w:rPr>
        <w:t xml:space="preserve"> </w:t>
      </w:r>
    </w:p>
    <w:p w:rsidR="00773422" w:rsidRDefault="00773422" w:rsidP="00874C6B"/>
    <w:p w:rsidR="0000662F" w:rsidRPr="00935DD9" w:rsidRDefault="0000662F" w:rsidP="00874C6B"/>
    <w:p w:rsidR="00773422" w:rsidRPr="001E36A3" w:rsidRDefault="00773422" w:rsidP="00874C6B">
      <w:pPr>
        <w:pBdr>
          <w:bottom w:val="single" w:sz="6" w:space="1" w:color="auto"/>
        </w:pBdr>
        <w:rPr>
          <w:b/>
          <w:color w:val="000099"/>
          <w:sz w:val="24"/>
          <w:u w:val="single"/>
        </w:rPr>
      </w:pPr>
      <w:r w:rsidRPr="00935DD9">
        <w:rPr>
          <w:b/>
          <w:color w:val="000099"/>
          <w:sz w:val="24"/>
        </w:rPr>
        <w:t>Target Audience</w:t>
      </w:r>
    </w:p>
    <w:p w:rsidR="00773422" w:rsidRDefault="0057383A" w:rsidP="00874C6B">
      <w:pPr>
        <w:rPr>
          <w:sz w:val="20"/>
          <w:szCs w:val="20"/>
        </w:rPr>
      </w:pPr>
      <w:r w:rsidRPr="007A20D1">
        <w:rPr>
          <w:sz w:val="20"/>
          <w:szCs w:val="20"/>
        </w:rPr>
        <w:t xml:space="preserve">This program is intended for pharmacists who </w:t>
      </w:r>
      <w:r w:rsidR="00146AB7">
        <w:rPr>
          <w:sz w:val="20"/>
          <w:szCs w:val="20"/>
        </w:rPr>
        <w:t xml:space="preserve">are </w:t>
      </w:r>
      <w:r w:rsidRPr="007A20D1">
        <w:rPr>
          <w:sz w:val="20"/>
          <w:szCs w:val="20"/>
        </w:rPr>
        <w:t xml:space="preserve">interested in </w:t>
      </w:r>
      <w:r w:rsidR="007E70E3">
        <w:rPr>
          <w:sz w:val="20"/>
          <w:szCs w:val="20"/>
        </w:rPr>
        <w:t xml:space="preserve">gaining the </w:t>
      </w:r>
      <w:r w:rsidR="007E70E3" w:rsidRPr="007E70E3">
        <w:rPr>
          <w:sz w:val="20"/>
          <w:szCs w:val="20"/>
        </w:rPr>
        <w:t>foundational knowledge necessary to provide clinical pharmacy serv</w:t>
      </w:r>
      <w:r w:rsidR="007E70E3">
        <w:rPr>
          <w:sz w:val="20"/>
          <w:szCs w:val="20"/>
        </w:rPr>
        <w:t>ices in their practice settings</w:t>
      </w:r>
      <w:r w:rsidR="003B2E8C" w:rsidRPr="007A20D1">
        <w:rPr>
          <w:sz w:val="20"/>
          <w:szCs w:val="20"/>
        </w:rPr>
        <w:t xml:space="preserve">. </w:t>
      </w:r>
      <w:r w:rsidR="00146AB7" w:rsidRPr="00146AB7">
        <w:rPr>
          <w:sz w:val="20"/>
          <w:szCs w:val="20"/>
        </w:rPr>
        <w:t>Participants will be assumed to have the required pharmacy content knowledge but not necessarily the education-related knowledge and skills included in this program.</w:t>
      </w:r>
      <w:r w:rsidR="00146AB7">
        <w:rPr>
          <w:sz w:val="20"/>
          <w:szCs w:val="20"/>
        </w:rPr>
        <w:t xml:space="preserve"> </w:t>
      </w:r>
    </w:p>
    <w:p w:rsidR="00146AB7" w:rsidRDefault="00146AB7" w:rsidP="00874C6B"/>
    <w:p w:rsidR="00F2402A" w:rsidRDefault="00773422" w:rsidP="00E478E9">
      <w:pPr>
        <w:pBdr>
          <w:bottom w:val="single" w:sz="6" w:space="0" w:color="auto"/>
        </w:pBdr>
        <w:rPr>
          <w:b/>
          <w:color w:val="000099"/>
          <w:sz w:val="24"/>
        </w:rPr>
      </w:pPr>
      <w:r w:rsidRPr="00E478E9">
        <w:rPr>
          <w:b/>
          <w:color w:val="000099"/>
          <w:sz w:val="24"/>
        </w:rPr>
        <w:t>Learning Objectives</w:t>
      </w:r>
      <w:r w:rsidR="00830D05" w:rsidRPr="00E478E9">
        <w:rPr>
          <w:b/>
          <w:color w:val="000099"/>
          <w:sz w:val="24"/>
        </w:rPr>
        <w:t xml:space="preserve"> and Schedule of Activities</w:t>
      </w:r>
    </w:p>
    <w:tbl>
      <w:tblPr>
        <w:tblStyle w:val="LightGrid-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6413"/>
      </w:tblGrid>
      <w:tr w:rsidR="00E478E9" w:rsidRPr="00E478E9" w:rsidTr="009F51F3">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Borders>
              <w:top w:val="nil"/>
              <w:left w:val="nil"/>
              <w:bottom w:val="single" w:sz="4" w:space="0" w:color="auto"/>
              <w:right w:val="nil"/>
            </w:tcBorders>
            <w:shd w:val="clear" w:color="auto" w:fill="auto"/>
          </w:tcPr>
          <w:p w:rsidR="00E478E9" w:rsidRPr="00E478E9" w:rsidRDefault="00E478E9" w:rsidP="00874C6B">
            <w:pPr>
              <w:rPr>
                <w:rFonts w:cstheme="minorHAnsi"/>
                <w:b w:val="0"/>
                <w:sz w:val="20"/>
                <w:szCs w:val="20"/>
              </w:rPr>
            </w:pPr>
          </w:p>
        </w:tc>
        <w:tc>
          <w:tcPr>
            <w:tcW w:w="6413" w:type="dxa"/>
            <w:tcBorders>
              <w:top w:val="nil"/>
              <w:left w:val="nil"/>
              <w:bottom w:val="single" w:sz="4" w:space="0" w:color="auto"/>
              <w:right w:val="nil"/>
            </w:tcBorders>
            <w:shd w:val="clear" w:color="auto" w:fill="auto"/>
          </w:tcPr>
          <w:p w:rsidR="00E478E9" w:rsidRPr="00E478E9" w:rsidRDefault="00E478E9" w:rsidP="00874C6B">
            <w:pP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p>
        </w:tc>
      </w:tr>
      <w:tr w:rsidR="00016F68" w:rsidRPr="00E478E9" w:rsidTr="009F51F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Borders>
              <w:top w:val="single" w:sz="4" w:space="0" w:color="auto"/>
              <w:left w:val="single" w:sz="4" w:space="0" w:color="auto"/>
              <w:bottom w:val="single" w:sz="4" w:space="0" w:color="auto"/>
              <w:right w:val="single" w:sz="4" w:space="0" w:color="auto"/>
            </w:tcBorders>
            <w:shd w:val="clear" w:color="auto" w:fill="auto"/>
          </w:tcPr>
          <w:p w:rsidR="00016F68" w:rsidRPr="00E478E9" w:rsidRDefault="00016F68" w:rsidP="00874C6B">
            <w:pPr>
              <w:rPr>
                <w:rFonts w:asciiTheme="minorHAnsi" w:hAnsiTheme="minorHAnsi" w:cstheme="minorHAnsi"/>
                <w:sz w:val="20"/>
                <w:szCs w:val="20"/>
              </w:rPr>
            </w:pPr>
            <w:r w:rsidRPr="00E478E9">
              <w:rPr>
                <w:rFonts w:asciiTheme="minorHAnsi" w:hAnsiTheme="minorHAnsi" w:cstheme="minorHAnsi"/>
                <w:sz w:val="20"/>
                <w:szCs w:val="20"/>
              </w:rPr>
              <w:t>Activity CE Information</w:t>
            </w:r>
          </w:p>
        </w:tc>
        <w:tc>
          <w:tcPr>
            <w:tcW w:w="6413" w:type="dxa"/>
            <w:tcBorders>
              <w:top w:val="single" w:sz="4" w:space="0" w:color="auto"/>
              <w:left w:val="single" w:sz="4" w:space="0" w:color="auto"/>
              <w:bottom w:val="single" w:sz="4" w:space="0" w:color="auto"/>
              <w:right w:val="single" w:sz="4" w:space="0" w:color="auto"/>
            </w:tcBorders>
            <w:shd w:val="clear" w:color="auto" w:fill="auto"/>
          </w:tcPr>
          <w:p w:rsidR="00016F68" w:rsidRPr="00E478E9" w:rsidRDefault="00016F68" w:rsidP="00874C6B">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E478E9">
              <w:rPr>
                <w:rFonts w:cstheme="minorHAnsi"/>
                <w:b/>
                <w:sz w:val="20"/>
                <w:szCs w:val="20"/>
              </w:rPr>
              <w:t>Title, Description, and Learning Objectives</w:t>
            </w:r>
          </w:p>
        </w:tc>
      </w:tr>
      <w:tr w:rsidR="00016F68" w:rsidRPr="00016F68" w:rsidTr="009F51F3">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Borders>
              <w:top w:val="none" w:sz="0" w:space="0" w:color="auto"/>
              <w:left w:val="none" w:sz="0" w:space="0" w:color="auto"/>
              <w:bottom w:val="none" w:sz="0" w:space="0" w:color="auto"/>
              <w:right w:val="none" w:sz="0" w:space="0" w:color="auto"/>
            </w:tcBorders>
            <w:shd w:val="clear" w:color="auto" w:fill="auto"/>
          </w:tcPr>
          <w:p w:rsidR="00016F68" w:rsidRPr="00016F68" w:rsidRDefault="00016F68" w:rsidP="00874C6B">
            <w:pPr>
              <w:rPr>
                <w:rFonts w:asciiTheme="minorHAnsi" w:hAnsiTheme="minorHAnsi" w:cstheme="minorHAnsi"/>
                <w:sz w:val="20"/>
                <w:szCs w:val="20"/>
              </w:rPr>
            </w:pPr>
            <w:r w:rsidRPr="00016F68">
              <w:rPr>
                <w:rFonts w:asciiTheme="minorHAnsi" w:hAnsiTheme="minorHAnsi" w:cstheme="minorHAnsi"/>
                <w:b w:val="0"/>
                <w:sz w:val="20"/>
                <w:szCs w:val="20"/>
              </w:rPr>
              <w:t xml:space="preserve">ACPE #: </w:t>
            </w:r>
            <w:r w:rsidRPr="00016F68">
              <w:rPr>
                <w:rFonts w:asciiTheme="minorHAnsi" w:hAnsiTheme="minorHAnsi" w:cstheme="minorHAnsi"/>
                <w:noProof/>
                <w:sz w:val="20"/>
                <w:szCs w:val="20"/>
              </w:rPr>
              <w:t>0204-0000-18-730-H01-P</w:t>
            </w:r>
          </w:p>
          <w:p w:rsidR="00016F68" w:rsidRPr="00016F68" w:rsidRDefault="00016F68" w:rsidP="00874C6B">
            <w:pPr>
              <w:rPr>
                <w:rFonts w:asciiTheme="minorHAnsi" w:hAnsiTheme="minorHAnsi" w:cstheme="minorHAnsi"/>
                <w:sz w:val="20"/>
                <w:szCs w:val="20"/>
              </w:rPr>
            </w:pPr>
          </w:p>
          <w:p w:rsidR="00016F68" w:rsidRPr="00016F68" w:rsidRDefault="00016F68" w:rsidP="00874C6B">
            <w:pPr>
              <w:rPr>
                <w:rFonts w:asciiTheme="minorHAnsi" w:hAnsiTheme="minorHAnsi" w:cstheme="minorHAnsi"/>
                <w:sz w:val="20"/>
                <w:szCs w:val="20"/>
              </w:rPr>
            </w:pPr>
            <w:r w:rsidRPr="00016F68">
              <w:rPr>
                <w:rFonts w:asciiTheme="minorHAnsi" w:hAnsiTheme="minorHAnsi" w:cstheme="minorHAnsi"/>
                <w:b w:val="0"/>
                <w:sz w:val="20"/>
                <w:szCs w:val="20"/>
              </w:rPr>
              <w:t xml:space="preserve">Credit Hours: </w:t>
            </w:r>
            <w:r w:rsidRPr="00016F68">
              <w:rPr>
                <w:rFonts w:asciiTheme="minorHAnsi" w:hAnsiTheme="minorHAnsi" w:cstheme="minorHAnsi"/>
                <w:noProof/>
                <w:sz w:val="20"/>
                <w:szCs w:val="20"/>
              </w:rPr>
              <w:t>0.5</w:t>
            </w:r>
          </w:p>
          <w:p w:rsidR="00016F68" w:rsidRPr="00016F68" w:rsidRDefault="00016F68" w:rsidP="00874C6B">
            <w:pPr>
              <w:rPr>
                <w:rFonts w:asciiTheme="minorHAnsi" w:hAnsiTheme="minorHAnsi" w:cstheme="minorHAnsi"/>
                <w:sz w:val="20"/>
                <w:szCs w:val="20"/>
              </w:rPr>
            </w:pPr>
          </w:p>
          <w:p w:rsidR="00016F68" w:rsidRPr="00016F68" w:rsidRDefault="00016F68" w:rsidP="00874C6B">
            <w:pPr>
              <w:rPr>
                <w:rFonts w:asciiTheme="minorHAnsi" w:hAnsiTheme="minorHAnsi" w:cstheme="minorHAnsi"/>
                <w:sz w:val="20"/>
                <w:szCs w:val="20"/>
              </w:rPr>
            </w:pPr>
            <w:r w:rsidRPr="00016F68">
              <w:rPr>
                <w:rFonts w:asciiTheme="minorHAnsi" w:hAnsiTheme="minorHAnsi" w:cstheme="minorHAnsi"/>
                <w:b w:val="0"/>
                <w:sz w:val="20"/>
                <w:szCs w:val="20"/>
              </w:rPr>
              <w:t>Activity Type:</w:t>
            </w:r>
            <w:r w:rsidRPr="00016F68">
              <w:rPr>
                <w:rFonts w:asciiTheme="minorHAnsi" w:hAnsiTheme="minorHAnsi" w:cstheme="minorHAnsi"/>
                <w:sz w:val="20"/>
                <w:szCs w:val="20"/>
              </w:rPr>
              <w:t xml:space="preserve"> </w:t>
            </w:r>
            <w:r w:rsidRPr="00016F68">
              <w:rPr>
                <w:rFonts w:asciiTheme="minorHAnsi" w:hAnsiTheme="minorHAnsi" w:cstheme="minorHAnsi"/>
                <w:noProof/>
                <w:sz w:val="20"/>
                <w:szCs w:val="20"/>
              </w:rPr>
              <w:t>Knowledge-based</w:t>
            </w:r>
          </w:p>
          <w:p w:rsidR="00016F68" w:rsidRPr="00016F68" w:rsidRDefault="00016F68" w:rsidP="00874C6B">
            <w:pPr>
              <w:rPr>
                <w:rFonts w:asciiTheme="minorHAnsi" w:hAnsiTheme="minorHAnsi" w:cstheme="minorHAnsi"/>
                <w:sz w:val="20"/>
                <w:szCs w:val="20"/>
              </w:rPr>
            </w:pPr>
          </w:p>
          <w:p w:rsidR="00016F68" w:rsidRPr="00016F68" w:rsidRDefault="00016F68" w:rsidP="00874C6B">
            <w:pPr>
              <w:rPr>
                <w:rFonts w:asciiTheme="minorHAnsi" w:hAnsiTheme="minorHAnsi" w:cstheme="minorHAnsi"/>
                <w:sz w:val="20"/>
                <w:szCs w:val="20"/>
              </w:rPr>
            </w:pPr>
          </w:p>
        </w:tc>
        <w:tc>
          <w:tcPr>
            <w:tcW w:w="6413" w:type="dxa"/>
            <w:tcBorders>
              <w:top w:val="none" w:sz="0" w:space="0" w:color="auto"/>
              <w:left w:val="none" w:sz="0" w:space="0" w:color="auto"/>
              <w:bottom w:val="none" w:sz="0" w:space="0" w:color="auto"/>
              <w:right w:val="none" w:sz="0" w:space="0" w:color="auto"/>
            </w:tcBorders>
            <w:shd w:val="clear" w:color="auto" w:fill="auto"/>
          </w:tcPr>
          <w:p w:rsidR="00016F68" w:rsidRPr="00016F68" w:rsidRDefault="00016F68" w:rsidP="00874C6B">
            <w:pPr>
              <w:cnfStyle w:val="000000010000" w:firstRow="0" w:lastRow="0" w:firstColumn="0" w:lastColumn="0" w:oddVBand="0" w:evenVBand="0" w:oddHBand="0" w:evenHBand="1" w:firstRowFirstColumn="0" w:firstRowLastColumn="0" w:lastRowFirstColumn="0" w:lastRowLastColumn="0"/>
              <w:rPr>
                <w:rFonts w:cstheme="minorHAnsi"/>
                <w:b/>
                <w:sz w:val="20"/>
                <w:szCs w:val="20"/>
              </w:rPr>
            </w:pPr>
            <w:r w:rsidRPr="00016F68">
              <w:rPr>
                <w:rFonts w:cstheme="minorHAnsi"/>
                <w:b/>
                <w:noProof/>
                <w:sz w:val="20"/>
                <w:szCs w:val="20"/>
              </w:rPr>
              <w:t xml:space="preserve">Title: </w:t>
            </w:r>
            <w:bookmarkStart w:id="0" w:name="_GoBack"/>
            <w:r w:rsidRPr="00016F68">
              <w:rPr>
                <w:rFonts w:cstheme="minorHAnsi"/>
                <w:b/>
                <w:noProof/>
                <w:sz w:val="20"/>
                <w:szCs w:val="20"/>
              </w:rPr>
              <w:t>Pharmacists' Roles in Transitions of Care</w:t>
            </w:r>
            <w:bookmarkEnd w:id="0"/>
          </w:p>
          <w:p w:rsidR="00016F68" w:rsidRPr="00016F68" w:rsidRDefault="00016F68" w:rsidP="00874C6B">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016F68">
              <w:rPr>
                <w:rFonts w:cstheme="minorHAnsi"/>
                <w:noProof/>
                <w:sz w:val="20"/>
                <w:szCs w:val="20"/>
              </w:rPr>
              <w:t>This module discusses the role of pharmacists in transitions of care between different settings and explains the steps to complete a medication history and reconciliation at admission and discharge.</w:t>
            </w:r>
          </w:p>
          <w:p w:rsidR="00016F68" w:rsidRPr="00016F68" w:rsidRDefault="00016F68" w:rsidP="00874C6B">
            <w:pPr>
              <w:cnfStyle w:val="000000010000" w:firstRow="0" w:lastRow="0" w:firstColumn="0" w:lastColumn="0" w:oddVBand="0" w:evenVBand="0" w:oddHBand="0" w:evenHBand="1" w:firstRowFirstColumn="0" w:firstRowLastColumn="0" w:lastRowFirstColumn="0" w:lastRowLastColumn="0"/>
              <w:rPr>
                <w:rFonts w:cstheme="minorHAnsi"/>
                <w:sz w:val="20"/>
                <w:szCs w:val="20"/>
              </w:rPr>
            </w:pPr>
          </w:p>
          <w:p w:rsidR="00016F68" w:rsidRPr="00016F68" w:rsidRDefault="00016F68" w:rsidP="00874C6B">
            <w:pPr>
              <w:cnfStyle w:val="000000010000" w:firstRow="0" w:lastRow="0" w:firstColumn="0" w:lastColumn="0" w:oddVBand="0" w:evenVBand="0" w:oddHBand="0" w:evenHBand="1" w:firstRowFirstColumn="0" w:firstRowLastColumn="0" w:lastRowFirstColumn="0" w:lastRowLastColumn="0"/>
              <w:rPr>
                <w:rFonts w:cstheme="minorHAnsi"/>
                <w:b/>
                <w:sz w:val="20"/>
                <w:szCs w:val="20"/>
              </w:rPr>
            </w:pPr>
            <w:r w:rsidRPr="00016F68">
              <w:rPr>
                <w:rFonts w:cstheme="minorHAnsi"/>
                <w:b/>
                <w:sz w:val="20"/>
                <w:szCs w:val="20"/>
              </w:rPr>
              <w:t>Learning Objectives:</w:t>
            </w:r>
          </w:p>
          <w:p w:rsidR="00016F68" w:rsidRPr="00016F68" w:rsidRDefault="00016F68" w:rsidP="00874C6B">
            <w:pPr>
              <w:pStyle w:val="ListParagraph"/>
              <w:numPr>
                <w:ilvl w:val="0"/>
                <w:numId w:val="14"/>
              </w:num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noProof/>
                <w:sz w:val="20"/>
                <w:szCs w:val="20"/>
              </w:rPr>
            </w:pPr>
            <w:r w:rsidRPr="00016F68">
              <w:rPr>
                <w:rFonts w:cstheme="minorHAnsi"/>
                <w:noProof/>
                <w:sz w:val="20"/>
                <w:szCs w:val="20"/>
              </w:rPr>
              <w:t>Describe the role of the pharmacist in care transitions between multiple settings</w:t>
            </w:r>
            <w:r w:rsidR="00F2402A">
              <w:rPr>
                <w:rFonts w:cstheme="minorHAnsi"/>
                <w:noProof/>
                <w:sz w:val="20"/>
                <w:szCs w:val="20"/>
              </w:rPr>
              <w:t>.</w:t>
            </w:r>
          </w:p>
          <w:p w:rsidR="00016F68" w:rsidRPr="00016F68" w:rsidRDefault="00016F68" w:rsidP="00874C6B">
            <w:pPr>
              <w:pStyle w:val="ListParagraph"/>
              <w:numPr>
                <w:ilvl w:val="0"/>
                <w:numId w:val="14"/>
              </w:num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noProof/>
                <w:sz w:val="20"/>
                <w:szCs w:val="20"/>
              </w:rPr>
            </w:pPr>
            <w:r w:rsidRPr="00016F68">
              <w:rPr>
                <w:rFonts w:cstheme="minorHAnsi"/>
                <w:noProof/>
                <w:sz w:val="20"/>
                <w:szCs w:val="20"/>
              </w:rPr>
              <w:t>Explain the steps to complete a medication history and medication reconciliation</w:t>
            </w:r>
            <w:r w:rsidR="00F2402A">
              <w:rPr>
                <w:rFonts w:cstheme="minorHAnsi"/>
                <w:noProof/>
                <w:sz w:val="20"/>
                <w:szCs w:val="20"/>
              </w:rPr>
              <w:t>.</w:t>
            </w:r>
          </w:p>
          <w:p w:rsidR="00016F68" w:rsidRDefault="00016F68" w:rsidP="00874C6B">
            <w:pPr>
              <w:pStyle w:val="ListParagraph"/>
              <w:numPr>
                <w:ilvl w:val="0"/>
                <w:numId w:val="14"/>
              </w:num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016F68">
              <w:rPr>
                <w:rFonts w:cstheme="minorHAnsi"/>
                <w:noProof/>
                <w:sz w:val="20"/>
                <w:szCs w:val="20"/>
              </w:rPr>
              <w:t>Describe evidence supporting the role of pharmacists in admission and discharge medication reconciliation</w:t>
            </w:r>
            <w:r w:rsidR="00F2402A">
              <w:rPr>
                <w:rFonts w:cstheme="minorHAnsi"/>
                <w:noProof/>
                <w:sz w:val="20"/>
                <w:szCs w:val="20"/>
              </w:rPr>
              <w:t>.</w:t>
            </w:r>
          </w:p>
          <w:p w:rsidR="00F2402A" w:rsidRPr="00874C6B" w:rsidRDefault="00F2402A" w:rsidP="00F2402A">
            <w:pPr>
              <w:pStyle w:val="ListParagraph"/>
              <w:spacing w:after="0" w:line="240" w:lineRule="auto"/>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r>
    </w:tbl>
    <w:p w:rsidR="00DD43B4" w:rsidRDefault="00DD43B4" w:rsidP="00874C6B">
      <w:pPr>
        <w:rPr>
          <w:rFonts w:eastAsia="Calibri" w:cs="Times New Roman"/>
          <w:sz w:val="20"/>
          <w:szCs w:val="20"/>
        </w:rPr>
      </w:pPr>
    </w:p>
    <w:p w:rsidR="00D75E12" w:rsidRDefault="00D75E12" w:rsidP="00874C6B">
      <w:pPr>
        <w:rPr>
          <w:rFonts w:eastAsia="Calibri" w:cs="Times New Roman"/>
          <w:sz w:val="20"/>
          <w:szCs w:val="20"/>
        </w:rPr>
        <w:sectPr w:rsidR="00D75E12" w:rsidSect="00D75E12">
          <w:headerReference w:type="default" r:id="rId9"/>
          <w:type w:val="continuous"/>
          <w:pgSz w:w="12240" w:h="15840"/>
          <w:pgMar w:top="1440" w:right="1440" w:bottom="1440" w:left="1440" w:header="720" w:footer="720" w:gutter="0"/>
          <w:cols w:space="720"/>
          <w:docGrid w:linePitch="360"/>
        </w:sectPr>
      </w:pPr>
    </w:p>
    <w:p w:rsidR="00BD6CB1" w:rsidRPr="007D7BFA" w:rsidRDefault="00BD6CB1" w:rsidP="00874C6B">
      <w:pPr>
        <w:pBdr>
          <w:bottom w:val="single" w:sz="6" w:space="1" w:color="auto"/>
        </w:pBdr>
        <w:rPr>
          <w:b/>
          <w:color w:val="000099"/>
          <w:sz w:val="24"/>
          <w:szCs w:val="20"/>
        </w:rPr>
      </w:pPr>
      <w:r w:rsidRPr="007D7BFA">
        <w:rPr>
          <w:b/>
          <w:color w:val="000099"/>
          <w:sz w:val="24"/>
          <w:szCs w:val="20"/>
        </w:rPr>
        <w:lastRenderedPageBreak/>
        <w:t>Disclosures</w:t>
      </w:r>
    </w:p>
    <w:p w:rsidR="00874C6B" w:rsidRPr="00874C6B" w:rsidRDefault="00874C6B" w:rsidP="00874C6B">
      <w:pPr>
        <w:rPr>
          <w:rFonts w:eastAsia="Times New Roman" w:cs="Arial"/>
          <w:i/>
          <w:sz w:val="20"/>
        </w:rPr>
      </w:pPr>
      <w:r w:rsidRPr="00874C6B">
        <w:rPr>
          <w:rFonts w:eastAsia="Times New Roman" w:cs="Arial"/>
          <w:sz w:val="20"/>
        </w:rPr>
        <w:t xml:space="preserve">In accordance with the ACPE’s and ACCME’s Standards for Commercial Support, everyone in a position to control the content of an educational activity is required to disclose to the accredited provider their relevant financial relationships. </w:t>
      </w:r>
      <w:r w:rsidRPr="004F3F8E">
        <w:rPr>
          <w:rFonts w:eastAsia="Times New Roman" w:cs="Arial"/>
          <w:sz w:val="20"/>
        </w:rPr>
        <w:t xml:space="preserve">An individual has a </w:t>
      </w:r>
      <w:r w:rsidRPr="004F3F8E">
        <w:rPr>
          <w:rFonts w:eastAsia="Times New Roman" w:cs="Arial"/>
          <w:b/>
          <w:sz w:val="20"/>
        </w:rPr>
        <w:t>relevant financial relationship</w:t>
      </w:r>
      <w:r w:rsidRPr="004F3F8E">
        <w:rPr>
          <w:rFonts w:eastAsia="Times New Roman" w:cs="Arial"/>
          <w:sz w:val="20"/>
        </w:rPr>
        <w:t xml:space="preserve"> if he or she (or spouse/domestic partner has a financial relationship in any amount occurring in the last 12 months with a commercial interest whose products or services are discussed in the activity content over which the individual has control.</w:t>
      </w:r>
      <w:r w:rsidRPr="00874C6B">
        <w:rPr>
          <w:rFonts w:eastAsia="Times New Roman" w:cs="Arial"/>
          <w:i/>
          <w:sz w:val="20"/>
        </w:rPr>
        <w:t xml:space="preserve"> </w:t>
      </w:r>
    </w:p>
    <w:p w:rsidR="00874C6B" w:rsidRPr="00874C6B" w:rsidRDefault="00874C6B" w:rsidP="00874C6B">
      <w:pPr>
        <w:rPr>
          <w:rFonts w:eastAsia="Times New Roman" w:cs="Arial"/>
          <w:sz w:val="20"/>
        </w:rPr>
      </w:pPr>
    </w:p>
    <w:p w:rsidR="00874C6B" w:rsidRPr="00874C6B" w:rsidRDefault="00874C6B" w:rsidP="00874C6B">
      <w:pPr>
        <w:rPr>
          <w:rFonts w:eastAsia="Times New Roman" w:cs="Arial"/>
          <w:sz w:val="20"/>
        </w:rPr>
      </w:pPr>
      <w:r w:rsidRPr="00874C6B">
        <w:rPr>
          <w:rFonts w:eastAsia="Times New Roman" w:cs="Arial"/>
          <w:sz w:val="20"/>
        </w:rPr>
        <w:t xml:space="preserve">A </w:t>
      </w:r>
      <w:r w:rsidRPr="00874C6B">
        <w:rPr>
          <w:rFonts w:eastAsia="Times New Roman" w:cs="Arial"/>
          <w:b/>
          <w:sz w:val="20"/>
        </w:rPr>
        <w:t xml:space="preserve">commercial interest </w:t>
      </w:r>
      <w:r w:rsidRPr="00874C6B">
        <w:rPr>
          <w:rFonts w:eastAsia="Times New Roman" w:cs="Arial"/>
          <w:sz w:val="20"/>
        </w:rPr>
        <w:t xml:space="preserve">is any entity producing, marketing, re-selling, or distributing healthcare goods or services consumed by, or used on, patients. The Standards for Commercial Support do not consider providers of clinical services directly to patients to be commercial interest. </w:t>
      </w:r>
    </w:p>
    <w:p w:rsidR="00874C6B" w:rsidRPr="001A4F79" w:rsidRDefault="00874C6B" w:rsidP="00874C6B">
      <w:pPr>
        <w:rPr>
          <w:rFonts w:eastAsia="Times New Roman" w:cs="Times New Roman"/>
          <w:bCs/>
          <w:sz w:val="20"/>
          <w:szCs w:val="20"/>
        </w:rPr>
      </w:pPr>
    </w:p>
    <w:p w:rsidR="007D7D63" w:rsidRDefault="00B86E12" w:rsidP="004F3F8E">
      <w:pPr>
        <w:rPr>
          <w:bCs/>
          <w:color w:val="000000" w:themeColor="text1"/>
          <w:sz w:val="20"/>
          <w:szCs w:val="20"/>
        </w:rPr>
      </w:pPr>
      <w:r w:rsidRPr="004F3F8E">
        <w:rPr>
          <w:bCs/>
          <w:color w:val="000000" w:themeColor="text1"/>
          <w:sz w:val="20"/>
          <w:szCs w:val="20"/>
        </w:rPr>
        <w:t>All planners, presenters, reviewers, and staff report no financial relationships relevant to this activity.</w:t>
      </w:r>
    </w:p>
    <w:p w:rsidR="007D7D63" w:rsidRDefault="007D7D63" w:rsidP="004F3F8E">
      <w:pPr>
        <w:rPr>
          <w:bCs/>
          <w:color w:val="000000" w:themeColor="text1"/>
          <w:sz w:val="20"/>
          <w:szCs w:val="20"/>
        </w:rPr>
      </w:pPr>
    </w:p>
    <w:p w:rsidR="00FD08AD" w:rsidRDefault="00FD08AD" w:rsidP="004F3F8E">
      <w:pPr>
        <w:rPr>
          <w:bCs/>
          <w:color w:val="000000" w:themeColor="text1"/>
          <w:sz w:val="20"/>
          <w:szCs w:val="20"/>
        </w:rPr>
      </w:pPr>
    </w:p>
    <w:p w:rsidR="00D75E12" w:rsidRDefault="00D75E12" w:rsidP="00874C6B">
      <w:pPr>
        <w:pBdr>
          <w:bottom w:val="single" w:sz="4" w:space="1" w:color="auto"/>
        </w:pBdr>
        <w:rPr>
          <w:b/>
          <w:color w:val="000099"/>
          <w:sz w:val="24"/>
        </w:rPr>
      </w:pPr>
      <w:r>
        <w:rPr>
          <w:b/>
          <w:color w:val="000099"/>
          <w:sz w:val="24"/>
        </w:rPr>
        <w:lastRenderedPageBreak/>
        <w:t>Methods and CE Requirements</w:t>
      </w:r>
    </w:p>
    <w:p w:rsidR="00CA3D36" w:rsidRPr="00CA3D36" w:rsidRDefault="00CA3D36" w:rsidP="00874C6B">
      <w:pPr>
        <w:rPr>
          <w:rFonts w:eastAsia="Times New Roman" w:cs="Times New Roman"/>
          <w:sz w:val="20"/>
          <w:szCs w:val="24"/>
        </w:rPr>
      </w:pPr>
      <w:r w:rsidRPr="00CA3D36">
        <w:rPr>
          <w:rFonts w:eastAsia="Times New Roman" w:cs="Times New Roman"/>
          <w:sz w:val="20"/>
          <w:szCs w:val="24"/>
        </w:rPr>
        <w:t>Participants must participate in the entire activity and complete the evaluation to earn continuing pharmacy education credit.  Follow the prompts online at the ASHP eLearning portal (</w:t>
      </w:r>
      <w:hyperlink r:id="rId10" w:history="1">
        <w:r w:rsidRPr="00CA3D36">
          <w:rPr>
            <w:rStyle w:val="Hyperlink"/>
            <w:rFonts w:eastAsia="Times New Roman" w:cs="Times New Roman"/>
            <w:sz w:val="20"/>
            <w:szCs w:val="24"/>
          </w:rPr>
          <w:t>http://elearning.ashp.org</w:t>
        </w:r>
      </w:hyperlink>
      <w:r w:rsidRPr="00CA3D36">
        <w:rPr>
          <w:rFonts w:eastAsia="Times New Roman" w:cs="Times New Roman"/>
          <w:sz w:val="20"/>
          <w:szCs w:val="24"/>
        </w:rPr>
        <w:t xml:space="preserve">) to claim credit and view statements of credit within 60 days of completing the activity.  Credits will be reported directly to CPE Monitor. To verify that you have completed the required steps and to ensure your credits hours have been reported to CPE Monitor, we encourage you to check your NABP </w:t>
      </w:r>
      <w:proofErr w:type="spellStart"/>
      <w:r w:rsidRPr="00CA3D36">
        <w:rPr>
          <w:rFonts w:eastAsia="Times New Roman" w:cs="Times New Roman"/>
          <w:sz w:val="20"/>
          <w:szCs w:val="24"/>
        </w:rPr>
        <w:t>eProfile</w:t>
      </w:r>
      <w:proofErr w:type="spellEnd"/>
      <w:r w:rsidRPr="00CA3D36">
        <w:rPr>
          <w:rFonts w:eastAsia="Times New Roman" w:cs="Times New Roman"/>
          <w:sz w:val="20"/>
          <w:szCs w:val="24"/>
        </w:rPr>
        <w:t xml:space="preserve"> account to validate your credits were transferred successfully before the ACPE 60-day deadline.  After the 60 day deadline, ASHP will no longer be able to award credit.</w:t>
      </w:r>
    </w:p>
    <w:p w:rsidR="0030055B" w:rsidRDefault="0030055B" w:rsidP="00874C6B">
      <w:pPr>
        <w:rPr>
          <w:b/>
          <w:color w:val="000099"/>
          <w:sz w:val="24"/>
          <w:szCs w:val="20"/>
        </w:rPr>
      </w:pPr>
    </w:p>
    <w:p w:rsidR="00D75E12" w:rsidRPr="00D75E12" w:rsidRDefault="00D75E12" w:rsidP="00874C6B">
      <w:pPr>
        <w:pBdr>
          <w:bottom w:val="single" w:sz="6" w:space="1" w:color="auto"/>
        </w:pBdr>
        <w:rPr>
          <w:rFonts w:eastAsia="Times New Roman" w:cs="Times New Roman"/>
          <w:color w:val="000099"/>
          <w:sz w:val="24"/>
          <w:szCs w:val="20"/>
        </w:rPr>
      </w:pPr>
      <w:r w:rsidRPr="00D75E12">
        <w:rPr>
          <w:rFonts w:eastAsia="Times New Roman" w:cs="Times New Roman"/>
          <w:b/>
          <w:color w:val="000099"/>
          <w:sz w:val="24"/>
          <w:szCs w:val="20"/>
        </w:rPr>
        <w:t>System Technical Requirements</w:t>
      </w:r>
    </w:p>
    <w:p w:rsidR="00D75E12" w:rsidRPr="00D75E12" w:rsidRDefault="00D75E12" w:rsidP="00874C6B">
      <w:pPr>
        <w:rPr>
          <w:rFonts w:eastAsia="Times New Roman" w:cs="Times New Roman"/>
          <w:sz w:val="20"/>
          <w:szCs w:val="20"/>
          <w:lang w:val="en"/>
        </w:rPr>
      </w:pPr>
      <w:r w:rsidRPr="00D75E12">
        <w:rPr>
          <w:rFonts w:eastAsia="Times New Roman" w:cs="Times New Roman"/>
          <w:sz w:val="20"/>
          <w:szCs w:val="20"/>
          <w:lang w:val="en"/>
        </w:rPr>
        <w:t xml:space="preserve">Courses and learning activities are delivered via your Web browser and Acrobat PDF.  Users should have a basic comfort level using a computer and navigating web sites. </w:t>
      </w:r>
    </w:p>
    <w:p w:rsidR="00D75E12" w:rsidRPr="00D75E12" w:rsidRDefault="00D75E12" w:rsidP="00874C6B">
      <w:pPr>
        <w:rPr>
          <w:rFonts w:eastAsia="Times New Roman" w:cs="Times New Roman"/>
          <w:sz w:val="20"/>
          <w:szCs w:val="20"/>
          <w:lang w:val="en"/>
        </w:rPr>
      </w:pPr>
    </w:p>
    <w:p w:rsidR="00D75E12" w:rsidRPr="00D75E12" w:rsidRDefault="00D75E12" w:rsidP="00874C6B">
      <w:pPr>
        <w:rPr>
          <w:rFonts w:eastAsia="Times New Roman" w:cs="Times New Roman"/>
          <w:sz w:val="20"/>
          <w:szCs w:val="20"/>
          <w:lang w:val="en"/>
        </w:rPr>
      </w:pPr>
      <w:r w:rsidRPr="00D75E12">
        <w:rPr>
          <w:rFonts w:eastAsia="Times New Roman" w:cs="Times New Roman"/>
          <w:sz w:val="20"/>
          <w:szCs w:val="20"/>
          <w:lang w:val="en"/>
        </w:rPr>
        <w:t xml:space="preserve">View the </w:t>
      </w:r>
      <w:hyperlink r:id="rId11" w:history="1">
        <w:r w:rsidRPr="00D75E12">
          <w:rPr>
            <w:rFonts w:eastAsia="Times New Roman" w:cs="Times New Roman"/>
            <w:color w:val="0000FF" w:themeColor="hyperlink"/>
            <w:sz w:val="20"/>
            <w:szCs w:val="20"/>
            <w:u w:val="single"/>
            <w:lang w:val="en"/>
          </w:rPr>
          <w:t>minimum technical and system requirements</w:t>
        </w:r>
      </w:hyperlink>
      <w:r w:rsidRPr="00D75E12">
        <w:rPr>
          <w:rFonts w:eastAsia="Times New Roman" w:cs="Times New Roman"/>
          <w:sz w:val="20"/>
          <w:szCs w:val="20"/>
          <w:lang w:val="en"/>
        </w:rPr>
        <w:t xml:space="preserve"> for learning activities. </w:t>
      </w:r>
    </w:p>
    <w:p w:rsidR="00D75E12" w:rsidRDefault="00D75E12" w:rsidP="00874C6B">
      <w:pPr>
        <w:rPr>
          <w:b/>
          <w:color w:val="000099"/>
          <w:sz w:val="24"/>
          <w:szCs w:val="20"/>
        </w:rPr>
      </w:pPr>
    </w:p>
    <w:p w:rsidR="00BD6CB1" w:rsidRPr="007D7BFA" w:rsidRDefault="005E6078" w:rsidP="00874C6B">
      <w:pPr>
        <w:pBdr>
          <w:bottom w:val="single" w:sz="6" w:space="1" w:color="auto"/>
        </w:pBdr>
        <w:rPr>
          <w:b/>
          <w:color w:val="000099"/>
          <w:sz w:val="24"/>
          <w:szCs w:val="20"/>
        </w:rPr>
      </w:pPr>
      <w:r w:rsidRPr="007D7BFA">
        <w:rPr>
          <w:b/>
          <w:color w:val="000099"/>
          <w:sz w:val="24"/>
          <w:szCs w:val="20"/>
        </w:rPr>
        <w:t>Acknowledgement</w:t>
      </w:r>
      <w:r w:rsidR="00BD6CB1" w:rsidRPr="007D7BFA">
        <w:rPr>
          <w:b/>
          <w:color w:val="000099"/>
          <w:sz w:val="24"/>
          <w:szCs w:val="20"/>
        </w:rPr>
        <w:t>s of Support</w:t>
      </w:r>
      <w:r w:rsidRPr="007D7BFA">
        <w:rPr>
          <w:b/>
          <w:color w:val="000099"/>
          <w:sz w:val="24"/>
          <w:szCs w:val="20"/>
        </w:rPr>
        <w:t xml:space="preserve"> </w:t>
      </w:r>
    </w:p>
    <w:p w:rsidR="00D75E12" w:rsidRPr="000C6E03" w:rsidRDefault="000C6E03" w:rsidP="00874C6B">
      <w:pPr>
        <w:rPr>
          <w:rFonts w:eastAsia="Times New Roman" w:cs="Times New Roman"/>
          <w:bCs/>
          <w:sz w:val="20"/>
          <w:szCs w:val="20"/>
        </w:rPr>
      </w:pPr>
      <w:r w:rsidRPr="000C6E03">
        <w:rPr>
          <w:rFonts w:eastAsia="Times New Roman" w:cs="Times New Roman"/>
          <w:bCs/>
          <w:sz w:val="20"/>
          <w:szCs w:val="20"/>
        </w:rPr>
        <w:t>This activity was planned and developed by The American Society of Health-System Pharmacists.</w:t>
      </w:r>
    </w:p>
    <w:sectPr w:rsidR="00D75E12" w:rsidRPr="000C6E03" w:rsidSect="00D75E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2D1" w:rsidRDefault="001F22D1" w:rsidP="00773422">
      <w:r>
        <w:separator/>
      </w:r>
    </w:p>
  </w:endnote>
  <w:endnote w:type="continuationSeparator" w:id="0">
    <w:p w:rsidR="001F22D1" w:rsidRDefault="001F22D1" w:rsidP="00773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2D1" w:rsidRDefault="001F22D1" w:rsidP="00773422">
      <w:r>
        <w:separator/>
      </w:r>
    </w:p>
  </w:footnote>
  <w:footnote w:type="continuationSeparator" w:id="0">
    <w:p w:rsidR="001F22D1" w:rsidRDefault="001F22D1" w:rsidP="007734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2D1" w:rsidRDefault="001F22D1" w:rsidP="003C7D84">
    <w:pPr>
      <w:rPr>
        <w:b/>
      </w:rPr>
    </w:pPr>
    <w:r>
      <w:rPr>
        <w:b/>
        <w:noProof/>
      </w:rPr>
      <w:drawing>
        <wp:inline distT="0" distB="0" distL="0" distR="0" wp14:anchorId="090EF748" wp14:editId="1E31289A">
          <wp:extent cx="2225311" cy="572494"/>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hp2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5123" cy="575018"/>
                  </a:xfrm>
                  <a:prstGeom prst="rect">
                    <a:avLst/>
                  </a:prstGeom>
                </pic:spPr>
              </pic:pic>
            </a:graphicData>
          </a:graphic>
        </wp:inline>
      </w:drawing>
    </w:r>
  </w:p>
  <w:p w:rsidR="001F22D1" w:rsidRDefault="001F22D1" w:rsidP="003C7D84">
    <w:pPr>
      <w:jc w:val="center"/>
      <w:rPr>
        <w:b/>
      </w:rPr>
    </w:pPr>
    <w:r>
      <w:rPr>
        <w:b/>
      </w:rPr>
      <w:t>CE Activity Announcement</w:t>
    </w:r>
  </w:p>
  <w:p w:rsidR="001F22D1" w:rsidRPr="00773422" w:rsidRDefault="001F22D1" w:rsidP="007734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421F8"/>
    <w:multiLevelType w:val="hybridMultilevel"/>
    <w:tmpl w:val="CC72C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B2740A"/>
    <w:multiLevelType w:val="hybridMultilevel"/>
    <w:tmpl w:val="F3440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1C02F5"/>
    <w:multiLevelType w:val="hybridMultilevel"/>
    <w:tmpl w:val="5FCC9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4A12E0"/>
    <w:multiLevelType w:val="hybridMultilevel"/>
    <w:tmpl w:val="8BD60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035A56"/>
    <w:multiLevelType w:val="hybridMultilevel"/>
    <w:tmpl w:val="1A408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DC453E"/>
    <w:multiLevelType w:val="hybridMultilevel"/>
    <w:tmpl w:val="4A9EE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D45624"/>
    <w:multiLevelType w:val="hybridMultilevel"/>
    <w:tmpl w:val="D5E8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1042B3"/>
    <w:multiLevelType w:val="hybridMultilevel"/>
    <w:tmpl w:val="021AE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425004"/>
    <w:multiLevelType w:val="hybridMultilevel"/>
    <w:tmpl w:val="EDE4C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562EEC"/>
    <w:multiLevelType w:val="hybridMultilevel"/>
    <w:tmpl w:val="C63C6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54635B8"/>
    <w:multiLevelType w:val="hybridMultilevel"/>
    <w:tmpl w:val="18EEC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B977CA"/>
    <w:multiLevelType w:val="hybridMultilevel"/>
    <w:tmpl w:val="8A846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633D7D"/>
    <w:multiLevelType w:val="hybridMultilevel"/>
    <w:tmpl w:val="4C689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D54306"/>
    <w:multiLevelType w:val="hybridMultilevel"/>
    <w:tmpl w:val="13DC5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0D3861"/>
    <w:multiLevelType w:val="hybridMultilevel"/>
    <w:tmpl w:val="3020B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6"/>
  </w:num>
  <w:num w:numId="4">
    <w:abstractNumId w:val="9"/>
  </w:num>
  <w:num w:numId="5">
    <w:abstractNumId w:val="11"/>
  </w:num>
  <w:num w:numId="6">
    <w:abstractNumId w:val="13"/>
  </w:num>
  <w:num w:numId="7">
    <w:abstractNumId w:val="14"/>
  </w:num>
  <w:num w:numId="8">
    <w:abstractNumId w:val="7"/>
  </w:num>
  <w:num w:numId="9">
    <w:abstractNumId w:val="4"/>
  </w:num>
  <w:num w:numId="10">
    <w:abstractNumId w:val="8"/>
  </w:num>
  <w:num w:numId="11">
    <w:abstractNumId w:val="0"/>
  </w:num>
  <w:num w:numId="12">
    <w:abstractNumId w:val="1"/>
  </w:num>
  <w:num w:numId="13">
    <w:abstractNumId w:val="5"/>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422"/>
    <w:rsid w:val="0000662F"/>
    <w:rsid w:val="00006D1B"/>
    <w:rsid w:val="00016F68"/>
    <w:rsid w:val="00055485"/>
    <w:rsid w:val="00094706"/>
    <w:rsid w:val="00097235"/>
    <w:rsid w:val="000C6E03"/>
    <w:rsid w:val="000D36DF"/>
    <w:rsid w:val="000E00D4"/>
    <w:rsid w:val="000E0C92"/>
    <w:rsid w:val="000F6295"/>
    <w:rsid w:val="000F705A"/>
    <w:rsid w:val="00146AB7"/>
    <w:rsid w:val="00160029"/>
    <w:rsid w:val="00177471"/>
    <w:rsid w:val="001967D4"/>
    <w:rsid w:val="001A4F79"/>
    <w:rsid w:val="001C0ADF"/>
    <w:rsid w:val="001D4DB6"/>
    <w:rsid w:val="001E36A3"/>
    <w:rsid w:val="001F22D1"/>
    <w:rsid w:val="0020702A"/>
    <w:rsid w:val="002B0E06"/>
    <w:rsid w:val="002B2DD0"/>
    <w:rsid w:val="002F2DD1"/>
    <w:rsid w:val="002F5817"/>
    <w:rsid w:val="0030055B"/>
    <w:rsid w:val="0037621F"/>
    <w:rsid w:val="003B2824"/>
    <w:rsid w:val="003B2E8C"/>
    <w:rsid w:val="003C7D84"/>
    <w:rsid w:val="003E5F37"/>
    <w:rsid w:val="003F782F"/>
    <w:rsid w:val="00401E9B"/>
    <w:rsid w:val="00415C78"/>
    <w:rsid w:val="004520F5"/>
    <w:rsid w:val="00461C6A"/>
    <w:rsid w:val="004A0161"/>
    <w:rsid w:val="004C0F49"/>
    <w:rsid w:val="004C228E"/>
    <w:rsid w:val="004E486A"/>
    <w:rsid w:val="004F25BC"/>
    <w:rsid w:val="004F3F8E"/>
    <w:rsid w:val="00513BB4"/>
    <w:rsid w:val="00557B98"/>
    <w:rsid w:val="005611EF"/>
    <w:rsid w:val="0057383A"/>
    <w:rsid w:val="00596B71"/>
    <w:rsid w:val="005B1DC3"/>
    <w:rsid w:val="005D6810"/>
    <w:rsid w:val="005E6078"/>
    <w:rsid w:val="00640A3E"/>
    <w:rsid w:val="006F0E64"/>
    <w:rsid w:val="00773422"/>
    <w:rsid w:val="00775CF7"/>
    <w:rsid w:val="007A20D1"/>
    <w:rsid w:val="007C4F00"/>
    <w:rsid w:val="007C7C66"/>
    <w:rsid w:val="007D7BFA"/>
    <w:rsid w:val="007D7D63"/>
    <w:rsid w:val="007E1C98"/>
    <w:rsid w:val="007E1E9C"/>
    <w:rsid w:val="007E70E3"/>
    <w:rsid w:val="00830D05"/>
    <w:rsid w:val="00852E38"/>
    <w:rsid w:val="0086104D"/>
    <w:rsid w:val="00874C6B"/>
    <w:rsid w:val="008C38FC"/>
    <w:rsid w:val="008E3114"/>
    <w:rsid w:val="008E7DB5"/>
    <w:rsid w:val="009248D3"/>
    <w:rsid w:val="00985E32"/>
    <w:rsid w:val="009F51F3"/>
    <w:rsid w:val="00A02D70"/>
    <w:rsid w:val="00A41EAA"/>
    <w:rsid w:val="00AB332B"/>
    <w:rsid w:val="00AC6C7B"/>
    <w:rsid w:val="00AF3A40"/>
    <w:rsid w:val="00B2472D"/>
    <w:rsid w:val="00B54D60"/>
    <w:rsid w:val="00B76E21"/>
    <w:rsid w:val="00B86E12"/>
    <w:rsid w:val="00BC0475"/>
    <w:rsid w:val="00BC1B33"/>
    <w:rsid w:val="00BD6CB1"/>
    <w:rsid w:val="00C4770A"/>
    <w:rsid w:val="00C52D0E"/>
    <w:rsid w:val="00CA3D36"/>
    <w:rsid w:val="00D04966"/>
    <w:rsid w:val="00D23079"/>
    <w:rsid w:val="00D31229"/>
    <w:rsid w:val="00D61DCC"/>
    <w:rsid w:val="00D75E12"/>
    <w:rsid w:val="00D81680"/>
    <w:rsid w:val="00D9033D"/>
    <w:rsid w:val="00DD43B4"/>
    <w:rsid w:val="00E21D53"/>
    <w:rsid w:val="00E3059E"/>
    <w:rsid w:val="00E478E9"/>
    <w:rsid w:val="00F2402A"/>
    <w:rsid w:val="00F542A5"/>
    <w:rsid w:val="00F6156B"/>
    <w:rsid w:val="00F87B70"/>
    <w:rsid w:val="00F92E53"/>
    <w:rsid w:val="00F952CE"/>
    <w:rsid w:val="00F97598"/>
    <w:rsid w:val="00FD08AD"/>
    <w:rsid w:val="00FE06C7"/>
    <w:rsid w:val="00FE639C"/>
    <w:rsid w:val="00FE7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422"/>
    <w:pPr>
      <w:tabs>
        <w:tab w:val="center" w:pos="4680"/>
        <w:tab w:val="right" w:pos="9360"/>
      </w:tabs>
    </w:pPr>
  </w:style>
  <w:style w:type="character" w:customStyle="1" w:styleId="HeaderChar">
    <w:name w:val="Header Char"/>
    <w:basedOn w:val="DefaultParagraphFont"/>
    <w:link w:val="Header"/>
    <w:uiPriority w:val="99"/>
    <w:rsid w:val="00773422"/>
  </w:style>
  <w:style w:type="paragraph" w:styleId="Footer">
    <w:name w:val="footer"/>
    <w:basedOn w:val="Normal"/>
    <w:link w:val="FooterChar"/>
    <w:uiPriority w:val="99"/>
    <w:unhideWhenUsed/>
    <w:rsid w:val="00773422"/>
    <w:pPr>
      <w:tabs>
        <w:tab w:val="center" w:pos="4680"/>
        <w:tab w:val="right" w:pos="9360"/>
      </w:tabs>
    </w:pPr>
  </w:style>
  <w:style w:type="character" w:customStyle="1" w:styleId="FooterChar">
    <w:name w:val="Footer Char"/>
    <w:basedOn w:val="DefaultParagraphFont"/>
    <w:link w:val="Footer"/>
    <w:uiPriority w:val="99"/>
    <w:rsid w:val="00773422"/>
  </w:style>
  <w:style w:type="paragraph" w:styleId="ListParagraph">
    <w:name w:val="List Paragraph"/>
    <w:basedOn w:val="Normal"/>
    <w:uiPriority w:val="34"/>
    <w:qFormat/>
    <w:rsid w:val="00773422"/>
    <w:pPr>
      <w:spacing w:after="200" w:line="276" w:lineRule="auto"/>
      <w:ind w:left="720"/>
      <w:contextualSpacing/>
    </w:pPr>
    <w:rPr>
      <w:rFonts w:eastAsiaTheme="minorEastAsia"/>
    </w:rPr>
  </w:style>
  <w:style w:type="paragraph" w:styleId="BalloonText">
    <w:name w:val="Balloon Text"/>
    <w:basedOn w:val="Normal"/>
    <w:link w:val="BalloonTextChar"/>
    <w:uiPriority w:val="99"/>
    <w:semiHidden/>
    <w:unhideWhenUsed/>
    <w:rsid w:val="00AB332B"/>
    <w:rPr>
      <w:rFonts w:ascii="Tahoma" w:hAnsi="Tahoma" w:cs="Tahoma"/>
      <w:sz w:val="16"/>
      <w:szCs w:val="16"/>
    </w:rPr>
  </w:style>
  <w:style w:type="character" w:customStyle="1" w:styleId="BalloonTextChar">
    <w:name w:val="Balloon Text Char"/>
    <w:basedOn w:val="DefaultParagraphFont"/>
    <w:link w:val="BalloonText"/>
    <w:uiPriority w:val="99"/>
    <w:semiHidden/>
    <w:rsid w:val="00AB332B"/>
    <w:rPr>
      <w:rFonts w:ascii="Tahoma" w:hAnsi="Tahoma" w:cs="Tahoma"/>
      <w:sz w:val="16"/>
      <w:szCs w:val="16"/>
    </w:rPr>
  </w:style>
  <w:style w:type="table" w:styleId="TableGrid">
    <w:name w:val="Table Grid"/>
    <w:basedOn w:val="TableNormal"/>
    <w:uiPriority w:val="59"/>
    <w:rsid w:val="00573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52D0E"/>
    <w:rPr>
      <w:sz w:val="16"/>
      <w:szCs w:val="16"/>
    </w:rPr>
  </w:style>
  <w:style w:type="paragraph" w:styleId="CommentText">
    <w:name w:val="annotation text"/>
    <w:basedOn w:val="Normal"/>
    <w:link w:val="CommentTextChar"/>
    <w:uiPriority w:val="99"/>
    <w:semiHidden/>
    <w:unhideWhenUsed/>
    <w:rsid w:val="00C52D0E"/>
    <w:rPr>
      <w:sz w:val="20"/>
      <w:szCs w:val="20"/>
    </w:rPr>
  </w:style>
  <w:style w:type="character" w:customStyle="1" w:styleId="CommentTextChar">
    <w:name w:val="Comment Text Char"/>
    <w:basedOn w:val="DefaultParagraphFont"/>
    <w:link w:val="CommentText"/>
    <w:uiPriority w:val="99"/>
    <w:semiHidden/>
    <w:rsid w:val="00C52D0E"/>
    <w:rPr>
      <w:sz w:val="20"/>
      <w:szCs w:val="20"/>
    </w:rPr>
  </w:style>
  <w:style w:type="paragraph" w:styleId="CommentSubject">
    <w:name w:val="annotation subject"/>
    <w:basedOn w:val="CommentText"/>
    <w:next w:val="CommentText"/>
    <w:link w:val="CommentSubjectChar"/>
    <w:uiPriority w:val="99"/>
    <w:semiHidden/>
    <w:unhideWhenUsed/>
    <w:rsid w:val="00C52D0E"/>
    <w:rPr>
      <w:b/>
      <w:bCs/>
    </w:rPr>
  </w:style>
  <w:style w:type="character" w:customStyle="1" w:styleId="CommentSubjectChar">
    <w:name w:val="Comment Subject Char"/>
    <w:basedOn w:val="CommentTextChar"/>
    <w:link w:val="CommentSubject"/>
    <w:uiPriority w:val="99"/>
    <w:semiHidden/>
    <w:rsid w:val="00C52D0E"/>
    <w:rPr>
      <w:b/>
      <w:bCs/>
      <w:sz w:val="20"/>
      <w:szCs w:val="20"/>
    </w:rPr>
  </w:style>
  <w:style w:type="character" w:styleId="Hyperlink">
    <w:name w:val="Hyperlink"/>
    <w:basedOn w:val="DefaultParagraphFont"/>
    <w:uiPriority w:val="99"/>
    <w:unhideWhenUsed/>
    <w:rsid w:val="00BC0475"/>
    <w:rPr>
      <w:color w:val="0000FF" w:themeColor="hyperlink"/>
      <w:u w:val="single"/>
    </w:rPr>
  </w:style>
  <w:style w:type="table" w:styleId="LightGrid-Accent1">
    <w:name w:val="Light Grid Accent 1"/>
    <w:basedOn w:val="TableNormal"/>
    <w:uiPriority w:val="62"/>
    <w:rsid w:val="00D75E1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422"/>
    <w:pPr>
      <w:tabs>
        <w:tab w:val="center" w:pos="4680"/>
        <w:tab w:val="right" w:pos="9360"/>
      </w:tabs>
    </w:pPr>
  </w:style>
  <w:style w:type="character" w:customStyle="1" w:styleId="HeaderChar">
    <w:name w:val="Header Char"/>
    <w:basedOn w:val="DefaultParagraphFont"/>
    <w:link w:val="Header"/>
    <w:uiPriority w:val="99"/>
    <w:rsid w:val="00773422"/>
  </w:style>
  <w:style w:type="paragraph" w:styleId="Footer">
    <w:name w:val="footer"/>
    <w:basedOn w:val="Normal"/>
    <w:link w:val="FooterChar"/>
    <w:uiPriority w:val="99"/>
    <w:unhideWhenUsed/>
    <w:rsid w:val="00773422"/>
    <w:pPr>
      <w:tabs>
        <w:tab w:val="center" w:pos="4680"/>
        <w:tab w:val="right" w:pos="9360"/>
      </w:tabs>
    </w:pPr>
  </w:style>
  <w:style w:type="character" w:customStyle="1" w:styleId="FooterChar">
    <w:name w:val="Footer Char"/>
    <w:basedOn w:val="DefaultParagraphFont"/>
    <w:link w:val="Footer"/>
    <w:uiPriority w:val="99"/>
    <w:rsid w:val="00773422"/>
  </w:style>
  <w:style w:type="paragraph" w:styleId="ListParagraph">
    <w:name w:val="List Paragraph"/>
    <w:basedOn w:val="Normal"/>
    <w:uiPriority w:val="34"/>
    <w:qFormat/>
    <w:rsid w:val="00773422"/>
    <w:pPr>
      <w:spacing w:after="200" w:line="276" w:lineRule="auto"/>
      <w:ind w:left="720"/>
      <w:contextualSpacing/>
    </w:pPr>
    <w:rPr>
      <w:rFonts w:eastAsiaTheme="minorEastAsia"/>
    </w:rPr>
  </w:style>
  <w:style w:type="paragraph" w:styleId="BalloonText">
    <w:name w:val="Balloon Text"/>
    <w:basedOn w:val="Normal"/>
    <w:link w:val="BalloonTextChar"/>
    <w:uiPriority w:val="99"/>
    <w:semiHidden/>
    <w:unhideWhenUsed/>
    <w:rsid w:val="00AB332B"/>
    <w:rPr>
      <w:rFonts w:ascii="Tahoma" w:hAnsi="Tahoma" w:cs="Tahoma"/>
      <w:sz w:val="16"/>
      <w:szCs w:val="16"/>
    </w:rPr>
  </w:style>
  <w:style w:type="character" w:customStyle="1" w:styleId="BalloonTextChar">
    <w:name w:val="Balloon Text Char"/>
    <w:basedOn w:val="DefaultParagraphFont"/>
    <w:link w:val="BalloonText"/>
    <w:uiPriority w:val="99"/>
    <w:semiHidden/>
    <w:rsid w:val="00AB332B"/>
    <w:rPr>
      <w:rFonts w:ascii="Tahoma" w:hAnsi="Tahoma" w:cs="Tahoma"/>
      <w:sz w:val="16"/>
      <w:szCs w:val="16"/>
    </w:rPr>
  </w:style>
  <w:style w:type="table" w:styleId="TableGrid">
    <w:name w:val="Table Grid"/>
    <w:basedOn w:val="TableNormal"/>
    <w:uiPriority w:val="59"/>
    <w:rsid w:val="00573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52D0E"/>
    <w:rPr>
      <w:sz w:val="16"/>
      <w:szCs w:val="16"/>
    </w:rPr>
  </w:style>
  <w:style w:type="paragraph" w:styleId="CommentText">
    <w:name w:val="annotation text"/>
    <w:basedOn w:val="Normal"/>
    <w:link w:val="CommentTextChar"/>
    <w:uiPriority w:val="99"/>
    <w:semiHidden/>
    <w:unhideWhenUsed/>
    <w:rsid w:val="00C52D0E"/>
    <w:rPr>
      <w:sz w:val="20"/>
      <w:szCs w:val="20"/>
    </w:rPr>
  </w:style>
  <w:style w:type="character" w:customStyle="1" w:styleId="CommentTextChar">
    <w:name w:val="Comment Text Char"/>
    <w:basedOn w:val="DefaultParagraphFont"/>
    <w:link w:val="CommentText"/>
    <w:uiPriority w:val="99"/>
    <w:semiHidden/>
    <w:rsid w:val="00C52D0E"/>
    <w:rPr>
      <w:sz w:val="20"/>
      <w:szCs w:val="20"/>
    </w:rPr>
  </w:style>
  <w:style w:type="paragraph" w:styleId="CommentSubject">
    <w:name w:val="annotation subject"/>
    <w:basedOn w:val="CommentText"/>
    <w:next w:val="CommentText"/>
    <w:link w:val="CommentSubjectChar"/>
    <w:uiPriority w:val="99"/>
    <w:semiHidden/>
    <w:unhideWhenUsed/>
    <w:rsid w:val="00C52D0E"/>
    <w:rPr>
      <w:b/>
      <w:bCs/>
    </w:rPr>
  </w:style>
  <w:style w:type="character" w:customStyle="1" w:styleId="CommentSubjectChar">
    <w:name w:val="Comment Subject Char"/>
    <w:basedOn w:val="CommentTextChar"/>
    <w:link w:val="CommentSubject"/>
    <w:uiPriority w:val="99"/>
    <w:semiHidden/>
    <w:rsid w:val="00C52D0E"/>
    <w:rPr>
      <w:b/>
      <w:bCs/>
      <w:sz w:val="20"/>
      <w:szCs w:val="20"/>
    </w:rPr>
  </w:style>
  <w:style w:type="character" w:styleId="Hyperlink">
    <w:name w:val="Hyperlink"/>
    <w:basedOn w:val="DefaultParagraphFont"/>
    <w:uiPriority w:val="99"/>
    <w:unhideWhenUsed/>
    <w:rsid w:val="00BC0475"/>
    <w:rPr>
      <w:color w:val="0000FF" w:themeColor="hyperlink"/>
      <w:u w:val="single"/>
    </w:rPr>
  </w:style>
  <w:style w:type="table" w:styleId="LightGrid-Accent1">
    <w:name w:val="Light Grid Accent 1"/>
    <w:basedOn w:val="TableNormal"/>
    <w:uiPriority w:val="62"/>
    <w:rsid w:val="00D75E1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85823">
      <w:bodyDiv w:val="1"/>
      <w:marLeft w:val="0"/>
      <w:marRight w:val="0"/>
      <w:marTop w:val="0"/>
      <w:marBottom w:val="0"/>
      <w:divBdr>
        <w:top w:val="none" w:sz="0" w:space="0" w:color="auto"/>
        <w:left w:val="none" w:sz="0" w:space="0" w:color="auto"/>
        <w:bottom w:val="none" w:sz="0" w:space="0" w:color="auto"/>
        <w:right w:val="none" w:sz="0" w:space="0" w:color="auto"/>
      </w:divBdr>
    </w:div>
    <w:div w:id="578755437">
      <w:bodyDiv w:val="1"/>
      <w:marLeft w:val="0"/>
      <w:marRight w:val="0"/>
      <w:marTop w:val="0"/>
      <w:marBottom w:val="0"/>
      <w:divBdr>
        <w:top w:val="none" w:sz="0" w:space="0" w:color="auto"/>
        <w:left w:val="none" w:sz="0" w:space="0" w:color="auto"/>
        <w:bottom w:val="none" w:sz="0" w:space="0" w:color="auto"/>
        <w:right w:val="none" w:sz="0" w:space="0" w:color="auto"/>
      </w:divBdr>
    </w:div>
    <w:div w:id="864249408">
      <w:bodyDiv w:val="1"/>
      <w:marLeft w:val="0"/>
      <w:marRight w:val="0"/>
      <w:marTop w:val="0"/>
      <w:marBottom w:val="0"/>
      <w:divBdr>
        <w:top w:val="none" w:sz="0" w:space="0" w:color="auto"/>
        <w:left w:val="none" w:sz="0" w:space="0" w:color="auto"/>
        <w:bottom w:val="none" w:sz="0" w:space="0" w:color="auto"/>
        <w:right w:val="none" w:sz="0" w:space="0" w:color="auto"/>
      </w:divBdr>
    </w:div>
    <w:div w:id="1179931650">
      <w:bodyDiv w:val="1"/>
      <w:marLeft w:val="0"/>
      <w:marRight w:val="0"/>
      <w:marTop w:val="0"/>
      <w:marBottom w:val="0"/>
      <w:divBdr>
        <w:top w:val="none" w:sz="0" w:space="0" w:color="auto"/>
        <w:left w:val="none" w:sz="0" w:space="0" w:color="auto"/>
        <w:bottom w:val="none" w:sz="0" w:space="0" w:color="auto"/>
        <w:right w:val="none" w:sz="0" w:space="0" w:color="auto"/>
      </w:divBdr>
    </w:div>
    <w:div w:id="1312716582">
      <w:bodyDiv w:val="1"/>
      <w:marLeft w:val="0"/>
      <w:marRight w:val="0"/>
      <w:marTop w:val="0"/>
      <w:marBottom w:val="0"/>
      <w:divBdr>
        <w:top w:val="none" w:sz="0" w:space="0" w:color="auto"/>
        <w:left w:val="none" w:sz="0" w:space="0" w:color="auto"/>
        <w:bottom w:val="none" w:sz="0" w:space="0" w:color="auto"/>
        <w:right w:val="none" w:sz="0" w:space="0" w:color="auto"/>
      </w:divBdr>
    </w:div>
    <w:div w:id="1516260316">
      <w:bodyDiv w:val="1"/>
      <w:marLeft w:val="0"/>
      <w:marRight w:val="0"/>
      <w:marTop w:val="0"/>
      <w:marBottom w:val="0"/>
      <w:divBdr>
        <w:top w:val="none" w:sz="0" w:space="0" w:color="auto"/>
        <w:left w:val="none" w:sz="0" w:space="0" w:color="auto"/>
        <w:bottom w:val="none" w:sz="0" w:space="0" w:color="auto"/>
        <w:right w:val="none" w:sz="0" w:space="0" w:color="auto"/>
      </w:divBdr>
    </w:div>
    <w:div w:id="1563521533">
      <w:bodyDiv w:val="1"/>
      <w:marLeft w:val="0"/>
      <w:marRight w:val="0"/>
      <w:marTop w:val="0"/>
      <w:marBottom w:val="0"/>
      <w:divBdr>
        <w:top w:val="none" w:sz="0" w:space="0" w:color="auto"/>
        <w:left w:val="none" w:sz="0" w:space="0" w:color="auto"/>
        <w:bottom w:val="none" w:sz="0" w:space="0" w:color="auto"/>
        <w:right w:val="none" w:sz="0" w:space="0" w:color="auto"/>
      </w:divBdr>
    </w:div>
    <w:div w:id="1633553295">
      <w:bodyDiv w:val="1"/>
      <w:marLeft w:val="0"/>
      <w:marRight w:val="0"/>
      <w:marTop w:val="0"/>
      <w:marBottom w:val="0"/>
      <w:divBdr>
        <w:top w:val="none" w:sz="0" w:space="0" w:color="auto"/>
        <w:left w:val="none" w:sz="0" w:space="0" w:color="auto"/>
        <w:bottom w:val="none" w:sz="0" w:space="0" w:color="auto"/>
        <w:right w:val="none" w:sz="0" w:space="0" w:color="auto"/>
      </w:divBdr>
    </w:div>
    <w:div w:id="1638341905">
      <w:bodyDiv w:val="1"/>
      <w:marLeft w:val="0"/>
      <w:marRight w:val="0"/>
      <w:marTop w:val="0"/>
      <w:marBottom w:val="0"/>
      <w:divBdr>
        <w:top w:val="none" w:sz="0" w:space="0" w:color="auto"/>
        <w:left w:val="none" w:sz="0" w:space="0" w:color="auto"/>
        <w:bottom w:val="none" w:sz="0" w:space="0" w:color="auto"/>
        <w:right w:val="none" w:sz="0" w:space="0" w:color="auto"/>
      </w:divBdr>
    </w:div>
    <w:div w:id="1655836199">
      <w:bodyDiv w:val="1"/>
      <w:marLeft w:val="0"/>
      <w:marRight w:val="0"/>
      <w:marTop w:val="0"/>
      <w:marBottom w:val="0"/>
      <w:divBdr>
        <w:top w:val="none" w:sz="0" w:space="0" w:color="auto"/>
        <w:left w:val="none" w:sz="0" w:space="0" w:color="auto"/>
        <w:bottom w:val="none" w:sz="0" w:space="0" w:color="auto"/>
        <w:right w:val="none" w:sz="0" w:space="0" w:color="auto"/>
      </w:divBdr>
    </w:div>
    <w:div w:id="1710716125">
      <w:bodyDiv w:val="1"/>
      <w:marLeft w:val="0"/>
      <w:marRight w:val="0"/>
      <w:marTop w:val="0"/>
      <w:marBottom w:val="0"/>
      <w:divBdr>
        <w:top w:val="none" w:sz="0" w:space="0" w:color="auto"/>
        <w:left w:val="none" w:sz="0" w:space="0" w:color="auto"/>
        <w:bottom w:val="none" w:sz="0" w:space="0" w:color="auto"/>
        <w:right w:val="none" w:sz="0" w:space="0" w:color="auto"/>
      </w:divBdr>
    </w:div>
    <w:div w:id="174190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learning.ashp.org/get-started" TargetMode="External"/><Relationship Id="rId5" Type="http://schemas.openxmlformats.org/officeDocument/2006/relationships/webSettings" Target="webSettings.xml"/><Relationship Id="rId10" Type="http://schemas.openxmlformats.org/officeDocument/2006/relationships/hyperlink" Target="http://elearning.ashp.org" TargetMode="Externa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American Society of Health-System Pharmacists</Company>
  <LinksUpToDate>false</LinksUpToDate>
  <CharactersWithSpaces>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Maitland</dc:creator>
  <cp:lastModifiedBy>Alicia Ross</cp:lastModifiedBy>
  <cp:revision>2</cp:revision>
  <cp:lastPrinted>2014-02-05T21:14:00Z</cp:lastPrinted>
  <dcterms:created xsi:type="dcterms:W3CDTF">2018-08-17T15:17:00Z</dcterms:created>
  <dcterms:modified xsi:type="dcterms:W3CDTF">2018-08-17T15:17:00Z</dcterms:modified>
</cp:coreProperties>
</file>