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422" w:rsidRPr="008314D2" w:rsidRDefault="005A15C5" w:rsidP="008314D2">
      <w:pPr>
        <w:pBdr>
          <w:bottom w:val="single" w:sz="6" w:space="1" w:color="auto"/>
        </w:pBdr>
        <w:tabs>
          <w:tab w:val="left" w:pos="9180"/>
        </w:tabs>
        <w:rPr>
          <w:rFonts w:cstheme="minorHAnsi"/>
          <w:b/>
          <w:color w:val="000099"/>
          <w:sz w:val="24"/>
          <w:szCs w:val="24"/>
        </w:rPr>
      </w:pPr>
      <w:r w:rsidRPr="008314D2">
        <w:rPr>
          <w:rFonts w:cstheme="minorHAnsi"/>
          <w:b/>
          <w:color w:val="000099"/>
          <w:sz w:val="24"/>
          <w:szCs w:val="24"/>
        </w:rPr>
        <w:t xml:space="preserve">Pharmacogenomics Certificate </w:t>
      </w:r>
      <w:r w:rsidR="00350B47" w:rsidRPr="008314D2">
        <w:rPr>
          <w:rFonts w:cstheme="minorHAnsi"/>
          <w:b/>
          <w:color w:val="000099"/>
          <w:sz w:val="24"/>
          <w:szCs w:val="24"/>
        </w:rPr>
        <w:t>Program</w:t>
      </w:r>
      <w:r w:rsidR="00806BC4">
        <w:rPr>
          <w:rFonts w:cstheme="minorHAnsi"/>
          <w:b/>
          <w:color w:val="000099"/>
          <w:sz w:val="24"/>
          <w:szCs w:val="24"/>
        </w:rPr>
        <w:t xml:space="preserve">: </w:t>
      </w:r>
      <w:r w:rsidR="00A65745" w:rsidRPr="00A65745">
        <w:rPr>
          <w:rFonts w:cstheme="minorHAnsi"/>
          <w:b/>
          <w:color w:val="000099"/>
          <w:sz w:val="24"/>
          <w:szCs w:val="24"/>
        </w:rPr>
        <w:t>Clinical Application of Pharmacogenomics Part I</w:t>
      </w:r>
    </w:p>
    <w:p w:rsidR="00C30974" w:rsidRPr="008314D2" w:rsidRDefault="00C30974" w:rsidP="008314D2">
      <w:pPr>
        <w:rPr>
          <w:rFonts w:cstheme="minorHAnsi"/>
        </w:rPr>
      </w:pPr>
      <w:r w:rsidRPr="008314D2">
        <w:rPr>
          <w:rFonts w:cstheme="minorHAnsi"/>
        </w:rPr>
        <w:t>Release Date: September 20, 2018</w:t>
      </w:r>
    </w:p>
    <w:p w:rsidR="005A15C5" w:rsidRPr="008314D2" w:rsidRDefault="005A15C5" w:rsidP="008314D2">
      <w:pPr>
        <w:rPr>
          <w:rFonts w:cstheme="minorHAnsi"/>
        </w:rPr>
      </w:pPr>
      <w:r w:rsidRPr="008314D2">
        <w:rPr>
          <w:rFonts w:cstheme="minorHAnsi"/>
        </w:rPr>
        <w:t>Expiration Date: September 20, 2021</w:t>
      </w:r>
    </w:p>
    <w:p w:rsidR="00EE788D" w:rsidRDefault="00A65745" w:rsidP="008314D2">
      <w:pPr>
        <w:rPr>
          <w:rFonts w:cstheme="minorHAnsi"/>
        </w:rPr>
      </w:pPr>
      <w:r w:rsidRPr="00A65745">
        <w:rPr>
          <w:rFonts w:cstheme="minorHAnsi"/>
        </w:rPr>
        <w:t>Activity Type: Application-based</w:t>
      </w:r>
    </w:p>
    <w:p w:rsidR="00A65745" w:rsidRPr="008314D2" w:rsidRDefault="00A65745" w:rsidP="008314D2">
      <w:pPr>
        <w:rPr>
          <w:rFonts w:cstheme="minorHAnsi"/>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 xml:space="preserve">Accreditation for </w:t>
      </w:r>
      <w:r w:rsidR="005A15C5" w:rsidRPr="008314D2">
        <w:rPr>
          <w:rFonts w:cstheme="minorHAnsi"/>
          <w:b/>
          <w:color w:val="000099"/>
          <w:sz w:val="24"/>
          <w:szCs w:val="24"/>
        </w:rPr>
        <w:t>Pharmacists</w:t>
      </w:r>
    </w:p>
    <w:p w:rsidR="00773422" w:rsidRPr="008314D2" w:rsidRDefault="00773422" w:rsidP="008314D2">
      <w:pPr>
        <w:rPr>
          <w:rFonts w:cstheme="minorHAnsi"/>
        </w:rPr>
      </w:pPr>
      <w:r w:rsidRPr="008314D2">
        <w:rPr>
          <w:rFonts w:cstheme="minorHAnsi"/>
          <w:noProof/>
        </w:rPr>
        <w:drawing>
          <wp:anchor distT="0" distB="0" distL="114300" distR="114300" simplePos="0" relativeHeight="251661312" behindDoc="0" locked="0" layoutInCell="1" allowOverlap="1" wp14:anchorId="3A11F503" wp14:editId="5DF14E4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7"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8314D2">
        <w:rPr>
          <w:rFonts w:cstheme="minorHAnsi"/>
        </w:rPr>
        <w:t xml:space="preserve">The American Society of Health-System Pharmacists is accredited by the Accreditation Council for Pharmacy Education as a provider of continuing pharmacy education. </w:t>
      </w:r>
    </w:p>
    <w:p w:rsidR="0000662F" w:rsidRPr="008314D2" w:rsidRDefault="0000662F" w:rsidP="008314D2">
      <w:pPr>
        <w:rPr>
          <w:rFonts w:cstheme="minorHAnsi"/>
        </w:rPr>
      </w:pPr>
    </w:p>
    <w:p w:rsidR="00080FE5" w:rsidRPr="008314D2" w:rsidRDefault="00080FE5" w:rsidP="008314D2">
      <w:pPr>
        <w:rPr>
          <w:rFonts w:cstheme="minorHAnsi"/>
        </w:rPr>
      </w:pPr>
    </w:p>
    <w:p w:rsidR="00773422" w:rsidRPr="008314D2" w:rsidRDefault="00773422" w:rsidP="008314D2">
      <w:pPr>
        <w:pBdr>
          <w:bottom w:val="single" w:sz="6" w:space="1" w:color="auto"/>
        </w:pBdr>
        <w:rPr>
          <w:rFonts w:cstheme="minorHAnsi"/>
          <w:b/>
          <w:color w:val="000099"/>
          <w:sz w:val="24"/>
          <w:szCs w:val="24"/>
          <w:u w:val="single"/>
        </w:rPr>
      </w:pPr>
      <w:r w:rsidRPr="008314D2">
        <w:rPr>
          <w:rFonts w:cstheme="minorHAnsi"/>
          <w:b/>
          <w:color w:val="000099"/>
          <w:sz w:val="24"/>
          <w:szCs w:val="24"/>
        </w:rPr>
        <w:t>Target Audience</w:t>
      </w:r>
    </w:p>
    <w:p w:rsidR="00C24FE8" w:rsidRPr="008314D2" w:rsidRDefault="0049172C" w:rsidP="008314D2">
      <w:pPr>
        <w:rPr>
          <w:rFonts w:cstheme="minorHAnsi"/>
        </w:rPr>
      </w:pPr>
      <w:r w:rsidRPr="008314D2">
        <w:rPr>
          <w:rFonts w:cstheme="minorHAnsi"/>
        </w:rPr>
        <w:t>This continuing pharmacy education activity is intended for pharmacists seeking to expand their knowledge and skills in using and implementing pharmacogenomics in their practice to ultimately improve medication use.</w:t>
      </w:r>
    </w:p>
    <w:p w:rsidR="0049172C" w:rsidRPr="008314D2" w:rsidRDefault="0049172C" w:rsidP="008314D2">
      <w:pPr>
        <w:rPr>
          <w:rFonts w:cstheme="minorHAnsi"/>
          <w:noProof/>
        </w:rPr>
      </w:pPr>
    </w:p>
    <w:p w:rsidR="00773422" w:rsidRPr="008314D2" w:rsidRDefault="00773422" w:rsidP="008314D2">
      <w:pPr>
        <w:pBdr>
          <w:bottom w:val="single" w:sz="6" w:space="1" w:color="auto"/>
        </w:pBdr>
        <w:rPr>
          <w:rFonts w:cstheme="minorHAnsi"/>
          <w:b/>
          <w:color w:val="000099"/>
          <w:sz w:val="24"/>
          <w:szCs w:val="24"/>
        </w:rPr>
      </w:pPr>
      <w:r w:rsidRPr="008314D2">
        <w:rPr>
          <w:rFonts w:cstheme="minorHAnsi"/>
          <w:b/>
          <w:color w:val="000099"/>
          <w:sz w:val="24"/>
          <w:szCs w:val="24"/>
        </w:rPr>
        <w:t>Learning Objectives</w:t>
      </w:r>
      <w:r w:rsidR="003E2796" w:rsidRPr="008314D2">
        <w:rPr>
          <w:rFonts w:cstheme="minorHAnsi"/>
          <w:b/>
          <w:color w:val="000099"/>
          <w:sz w:val="24"/>
          <w:szCs w:val="24"/>
        </w:rPr>
        <w:t xml:space="preserve"> and </w:t>
      </w:r>
      <w:r w:rsidR="00830D05" w:rsidRPr="008314D2">
        <w:rPr>
          <w:rFonts w:cstheme="minorHAnsi"/>
          <w:b/>
          <w:color w:val="000099"/>
          <w:sz w:val="24"/>
          <w:szCs w:val="24"/>
        </w:rPr>
        <w:t>Schedule of Activities</w:t>
      </w:r>
    </w:p>
    <w:p w:rsidR="00217C23" w:rsidRDefault="00217C23" w:rsidP="00217C23">
      <w:pPr>
        <w:rPr>
          <w:rFonts w:cstheme="minorHAnsi"/>
          <w:b/>
          <w:color w:val="000099"/>
          <w:sz w:val="24"/>
          <w:szCs w:val="24"/>
        </w:rPr>
      </w:pPr>
    </w:p>
    <w:tbl>
      <w:tblPr>
        <w:tblStyle w:val="LightGrid-Accent1"/>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321"/>
        <w:gridCol w:w="6019"/>
      </w:tblGrid>
      <w:tr w:rsidR="00217C23" w:rsidRPr="008314D2" w:rsidTr="00806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rPr>
                <w:rFonts w:asciiTheme="minorHAnsi" w:eastAsia="Calibri" w:hAnsiTheme="minorHAnsi" w:cstheme="minorHAnsi"/>
                <w:b w:val="0"/>
              </w:rPr>
            </w:pPr>
            <w:r w:rsidRPr="008314D2">
              <w:rPr>
                <w:rFonts w:asciiTheme="minorHAnsi" w:hAnsiTheme="minorHAnsi" w:cstheme="minorHAnsi"/>
              </w:rPr>
              <w:t>CE Information</w:t>
            </w:r>
          </w:p>
        </w:tc>
        <w:tc>
          <w:tcPr>
            <w:tcW w:w="6019" w:type="dxa"/>
            <w:tcBorders>
              <w:top w:val="none" w:sz="0" w:space="0" w:color="auto"/>
              <w:left w:val="none" w:sz="0" w:space="0" w:color="auto"/>
              <w:bottom w:val="none" w:sz="0" w:space="0" w:color="auto"/>
              <w:right w:val="none" w:sz="0" w:space="0" w:color="auto"/>
            </w:tcBorders>
            <w:shd w:val="clear" w:color="auto" w:fill="000099"/>
          </w:tcPr>
          <w:p w:rsidR="00217C23" w:rsidRPr="008314D2" w:rsidRDefault="00217C23" w:rsidP="00B03D45">
            <w:pP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 w:val="0"/>
              </w:rPr>
            </w:pPr>
            <w:r w:rsidRPr="008314D2">
              <w:rPr>
                <w:rFonts w:asciiTheme="minorHAnsi" w:hAnsiTheme="minorHAnsi" w:cstheme="minorHAnsi"/>
              </w:rPr>
              <w:t>Title, Description, and Learning Objectives</w:t>
            </w:r>
          </w:p>
        </w:tc>
      </w:tr>
      <w:tr w:rsidR="00A65745" w:rsidRPr="008314D2" w:rsidTr="00806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1" w:type="dxa"/>
            <w:tcBorders>
              <w:top w:val="none" w:sz="0" w:space="0" w:color="auto"/>
              <w:left w:val="none" w:sz="0" w:space="0" w:color="auto"/>
              <w:bottom w:val="none" w:sz="0" w:space="0" w:color="auto"/>
              <w:right w:val="none" w:sz="0" w:space="0" w:color="auto"/>
            </w:tcBorders>
            <w:shd w:val="clear" w:color="auto" w:fill="auto"/>
          </w:tcPr>
          <w:p w:rsidR="00A65745" w:rsidRPr="008314D2" w:rsidRDefault="00A65745" w:rsidP="00A65745">
            <w:pPr>
              <w:rPr>
                <w:rFonts w:asciiTheme="minorHAnsi" w:eastAsia="Calibri" w:hAnsiTheme="minorHAnsi" w:cstheme="minorHAnsi"/>
              </w:rPr>
            </w:pPr>
            <w:r w:rsidRPr="008314D2">
              <w:rPr>
                <w:rFonts w:asciiTheme="minorHAnsi" w:eastAsia="Calibri" w:hAnsiTheme="minorHAnsi" w:cstheme="minorHAnsi"/>
                <w:b w:val="0"/>
              </w:rPr>
              <w:t xml:space="preserve">ACPE #: </w:t>
            </w:r>
            <w:r w:rsidRPr="008314D2">
              <w:rPr>
                <w:rFonts w:asciiTheme="minorHAnsi" w:eastAsia="Calibri" w:hAnsiTheme="minorHAnsi" w:cstheme="minorHAnsi"/>
                <w:noProof/>
              </w:rPr>
              <w:t>0204-0000-18-746-H01-P</w:t>
            </w:r>
          </w:p>
          <w:p w:rsidR="00A65745" w:rsidRPr="008314D2" w:rsidRDefault="00A65745" w:rsidP="00A65745">
            <w:pPr>
              <w:rPr>
                <w:rFonts w:asciiTheme="minorHAnsi" w:eastAsia="Calibri" w:hAnsiTheme="minorHAnsi" w:cstheme="minorHAnsi"/>
              </w:rPr>
            </w:pPr>
          </w:p>
          <w:p w:rsidR="00A65745" w:rsidRPr="008314D2" w:rsidRDefault="00A65745" w:rsidP="00A65745">
            <w:pPr>
              <w:rPr>
                <w:rFonts w:asciiTheme="minorHAnsi" w:eastAsia="Calibri" w:hAnsiTheme="minorHAnsi" w:cstheme="minorHAnsi"/>
              </w:rPr>
            </w:pPr>
            <w:r w:rsidRPr="008314D2">
              <w:rPr>
                <w:rFonts w:asciiTheme="minorHAnsi" w:eastAsia="Calibri" w:hAnsiTheme="minorHAnsi" w:cstheme="minorHAnsi"/>
                <w:b w:val="0"/>
              </w:rPr>
              <w:t>Credit Hours:</w:t>
            </w:r>
            <w:r w:rsidRPr="008314D2">
              <w:rPr>
                <w:rFonts w:asciiTheme="minorHAnsi" w:eastAsia="Calibri" w:hAnsiTheme="minorHAnsi" w:cstheme="minorHAnsi"/>
              </w:rPr>
              <w:t xml:space="preserve"> </w:t>
            </w:r>
            <w:r w:rsidRPr="008314D2">
              <w:rPr>
                <w:rFonts w:asciiTheme="minorHAnsi" w:eastAsia="Calibri" w:hAnsiTheme="minorHAnsi" w:cstheme="minorHAnsi"/>
                <w:noProof/>
              </w:rPr>
              <w:t>2.25</w:t>
            </w:r>
          </w:p>
          <w:p w:rsidR="00A65745" w:rsidRPr="008314D2" w:rsidRDefault="00A65745" w:rsidP="00A65745">
            <w:pPr>
              <w:rPr>
                <w:rFonts w:asciiTheme="minorHAnsi" w:eastAsia="Calibri" w:hAnsiTheme="minorHAnsi" w:cstheme="minorHAnsi"/>
              </w:rPr>
            </w:pPr>
          </w:p>
          <w:p w:rsidR="00A65745" w:rsidRPr="008314D2" w:rsidRDefault="00A65745" w:rsidP="00A65745">
            <w:pPr>
              <w:rPr>
                <w:rFonts w:asciiTheme="minorHAnsi" w:eastAsia="Calibri" w:hAnsiTheme="minorHAnsi" w:cstheme="minorHAnsi"/>
              </w:rPr>
            </w:pPr>
            <w:r w:rsidRPr="008314D2">
              <w:rPr>
                <w:rFonts w:asciiTheme="minorHAnsi" w:eastAsia="Calibri" w:hAnsiTheme="minorHAnsi" w:cstheme="minorHAnsi"/>
                <w:b w:val="0"/>
              </w:rPr>
              <w:t>Activity Type:</w:t>
            </w:r>
            <w:r w:rsidRPr="008314D2">
              <w:rPr>
                <w:rFonts w:asciiTheme="minorHAnsi" w:eastAsia="Calibri" w:hAnsiTheme="minorHAnsi" w:cstheme="minorHAnsi"/>
              </w:rPr>
              <w:t xml:space="preserve"> </w:t>
            </w:r>
            <w:r w:rsidRPr="008314D2">
              <w:rPr>
                <w:rFonts w:asciiTheme="minorHAnsi" w:eastAsia="Calibri" w:hAnsiTheme="minorHAnsi" w:cstheme="minorHAnsi"/>
                <w:noProof/>
              </w:rPr>
              <w:t>Application-based</w:t>
            </w:r>
          </w:p>
        </w:tc>
        <w:tc>
          <w:tcPr>
            <w:tcW w:w="6019" w:type="dxa"/>
            <w:tcBorders>
              <w:top w:val="none" w:sz="0" w:space="0" w:color="auto"/>
              <w:left w:val="none" w:sz="0" w:space="0" w:color="auto"/>
              <w:bottom w:val="none" w:sz="0" w:space="0" w:color="auto"/>
              <w:right w:val="none" w:sz="0" w:space="0" w:color="auto"/>
            </w:tcBorders>
            <w:shd w:val="clear" w:color="auto" w:fill="auto"/>
          </w:tcPr>
          <w:p w:rsidR="00A65745" w:rsidRPr="008314D2" w:rsidRDefault="00A65745" w:rsidP="00A657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Title: </w:t>
            </w:r>
            <w:r w:rsidRPr="008314D2">
              <w:rPr>
                <w:rFonts w:eastAsia="Calibri" w:cstheme="minorHAnsi"/>
                <w:b/>
                <w:noProof/>
              </w:rPr>
              <w:t>Clinical Application of Pharmacogenomics Part I</w:t>
            </w:r>
          </w:p>
          <w:p w:rsidR="00A65745" w:rsidRPr="008314D2" w:rsidRDefault="00A65745" w:rsidP="00A65745">
            <w:pPr>
              <w:cnfStyle w:val="000000100000" w:firstRow="0" w:lastRow="0" w:firstColumn="0" w:lastColumn="0" w:oddVBand="0" w:evenVBand="0" w:oddHBand="1" w:evenHBand="0" w:firstRowFirstColumn="0" w:firstRowLastColumn="0" w:lastRowFirstColumn="0" w:lastRowLastColumn="0"/>
              <w:rPr>
                <w:rFonts w:eastAsia="Calibri" w:cstheme="minorHAnsi"/>
              </w:rPr>
            </w:pPr>
            <w:r w:rsidRPr="008314D2">
              <w:rPr>
                <w:rFonts w:eastAsia="Calibri" w:cstheme="minorHAnsi"/>
                <w:noProof/>
              </w:rPr>
              <w:t>This activity discusses the clinical application of pharmacogenomics in cardiology, oncology, and pain.</w:t>
            </w:r>
          </w:p>
          <w:p w:rsidR="00A65745" w:rsidRPr="008314D2" w:rsidRDefault="00A65745" w:rsidP="00A65745">
            <w:pPr>
              <w:cnfStyle w:val="000000100000" w:firstRow="0" w:lastRow="0" w:firstColumn="0" w:lastColumn="0" w:oddVBand="0" w:evenVBand="0" w:oddHBand="1" w:evenHBand="0" w:firstRowFirstColumn="0" w:firstRowLastColumn="0" w:lastRowFirstColumn="0" w:lastRowLastColumn="0"/>
              <w:rPr>
                <w:rFonts w:eastAsia="Calibri" w:cstheme="minorHAnsi"/>
              </w:rPr>
            </w:pPr>
          </w:p>
          <w:p w:rsidR="00A65745" w:rsidRPr="008314D2" w:rsidRDefault="00A65745" w:rsidP="00A657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Faculty: </w:t>
            </w:r>
          </w:p>
          <w:p w:rsidR="00A65745" w:rsidRPr="008314D2" w:rsidRDefault="00A65745" w:rsidP="00A65745">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Gillian Bell, Pharm.D., </w:t>
            </w:r>
            <w:r w:rsidRPr="008314D2">
              <w:rPr>
                <w:rFonts w:cstheme="minorHAnsi"/>
                <w:iCs/>
              </w:rPr>
              <w:t>Mission Health, UNC Eshelman School of Pharmacy, Asheville, North Carolina</w:t>
            </w:r>
          </w:p>
          <w:p w:rsidR="00A65745" w:rsidRPr="008314D2" w:rsidRDefault="00A65745" w:rsidP="00A65745">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Cyrine-Eliana Haidar, Pharm.D., BCOP, BCPS, </w:t>
            </w:r>
            <w:r w:rsidRPr="008314D2">
              <w:rPr>
                <w:rFonts w:cstheme="minorHAnsi"/>
                <w:iCs/>
              </w:rPr>
              <w:t>St. Jude Children’s Research Hospital, Memphis, Tennessee</w:t>
            </w:r>
          </w:p>
          <w:p w:rsidR="00A65745" w:rsidRPr="008314D2" w:rsidRDefault="00A65745" w:rsidP="00A65745">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James C. Lee, Pharm.D., BCACP, </w:t>
            </w:r>
            <w:r w:rsidRPr="008314D2">
              <w:rPr>
                <w:rFonts w:cstheme="minorHAnsi"/>
                <w:iCs/>
              </w:rPr>
              <w:t>University of Illinois at Chicago College of Pharmacy, Chicago, Illinois</w:t>
            </w:r>
          </w:p>
          <w:p w:rsidR="00A65745" w:rsidRDefault="00A65745" w:rsidP="00A65745">
            <w:pPr>
              <w:pStyle w:val="ListParagraph"/>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r w:rsidRPr="008314D2">
              <w:rPr>
                <w:rFonts w:cstheme="minorHAnsi"/>
                <w:b/>
                <w:iCs/>
              </w:rPr>
              <w:t xml:space="preserve">Laura B. Ramsey, Ph.D., </w:t>
            </w:r>
            <w:r w:rsidRPr="008314D2">
              <w:rPr>
                <w:rFonts w:cstheme="minorHAnsi"/>
                <w:iCs/>
              </w:rPr>
              <w:t>Cincinnati Children’s Hospital Medical Center, University of Cincinnati, Ohio</w:t>
            </w:r>
          </w:p>
          <w:p w:rsidR="00A65745" w:rsidRPr="00217C23" w:rsidRDefault="00A65745" w:rsidP="00A65745">
            <w:pPr>
              <w:pStyle w:val="ListParagraph"/>
              <w:spacing w:after="0" w:line="240" w:lineRule="auto"/>
              <w:cnfStyle w:val="000000100000" w:firstRow="0" w:lastRow="0" w:firstColumn="0" w:lastColumn="0" w:oddVBand="0" w:evenVBand="0" w:oddHBand="1" w:evenHBand="0" w:firstRowFirstColumn="0" w:firstRowLastColumn="0" w:lastRowFirstColumn="0" w:lastRowLastColumn="0"/>
              <w:rPr>
                <w:rFonts w:cstheme="minorHAnsi"/>
                <w:iCs/>
              </w:rPr>
            </w:pPr>
          </w:p>
          <w:p w:rsidR="00A65745" w:rsidRPr="008314D2" w:rsidRDefault="00A65745" w:rsidP="00A65745">
            <w:pPr>
              <w:cnfStyle w:val="000000100000" w:firstRow="0" w:lastRow="0" w:firstColumn="0" w:lastColumn="0" w:oddVBand="0" w:evenVBand="0" w:oddHBand="1" w:evenHBand="0" w:firstRowFirstColumn="0" w:firstRowLastColumn="0" w:lastRowFirstColumn="0" w:lastRowLastColumn="0"/>
              <w:rPr>
                <w:rFonts w:eastAsia="Calibri" w:cstheme="minorHAnsi"/>
                <w:b/>
              </w:rPr>
            </w:pPr>
            <w:r w:rsidRPr="008314D2">
              <w:rPr>
                <w:rFonts w:eastAsia="Calibri" w:cstheme="minorHAnsi"/>
                <w:b/>
              </w:rPr>
              <w:t xml:space="preserve">Learning Objectives: </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Describe the utility and considerations for pharmacogenomic testing in the selection and management of antithrombotic medications. </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Interpret evidence-based guidelines for </w:t>
            </w:r>
            <w:r w:rsidRPr="00217C23">
              <w:rPr>
                <w:rFonts w:eastAsia="Calibri" w:cstheme="minorHAnsi"/>
                <w:i/>
                <w:noProof/>
              </w:rPr>
              <w:t>CYP2C19</w:t>
            </w:r>
            <w:r w:rsidRPr="008314D2">
              <w:rPr>
                <w:rFonts w:eastAsia="Calibri" w:cstheme="minorHAnsi"/>
                <w:noProof/>
              </w:rPr>
              <w:t xml:space="preserve"> and </w:t>
            </w:r>
            <w:r w:rsidRPr="00217C23">
              <w:rPr>
                <w:rFonts w:eastAsia="Calibri" w:cstheme="minorHAnsi"/>
                <w:i/>
                <w:noProof/>
              </w:rPr>
              <w:t>CYP2C9</w:t>
            </w:r>
            <w:r w:rsidRPr="008314D2">
              <w:rPr>
                <w:rFonts w:eastAsia="Calibri" w:cstheme="minorHAnsi"/>
                <w:noProof/>
              </w:rPr>
              <w:t xml:space="preserve">, </w:t>
            </w:r>
            <w:r w:rsidRPr="00217C23">
              <w:rPr>
                <w:rFonts w:eastAsia="Calibri" w:cstheme="minorHAnsi"/>
                <w:i/>
                <w:noProof/>
              </w:rPr>
              <w:t>VKORC1</w:t>
            </w:r>
            <w:r w:rsidRPr="008314D2">
              <w:rPr>
                <w:rFonts w:eastAsia="Calibri" w:cstheme="minorHAnsi"/>
                <w:noProof/>
              </w:rPr>
              <w:t xml:space="preserve">, and </w:t>
            </w:r>
            <w:r w:rsidRPr="00217C23">
              <w:rPr>
                <w:rFonts w:eastAsia="Calibri" w:cstheme="minorHAnsi"/>
                <w:i/>
                <w:noProof/>
              </w:rPr>
              <w:t>CYP4F2</w:t>
            </w:r>
            <w:r w:rsidRPr="008314D2">
              <w:rPr>
                <w:rFonts w:eastAsia="Calibri" w:cstheme="minorHAnsi"/>
                <w:noProof/>
              </w:rPr>
              <w:t xml:space="preserve"> to guide antiplatelet agent selection and warfarin dosing.</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Apply </w:t>
            </w:r>
            <w:r w:rsidRPr="00217C23">
              <w:rPr>
                <w:rFonts w:eastAsia="Calibri" w:cstheme="minorHAnsi"/>
                <w:i/>
                <w:noProof/>
              </w:rPr>
              <w:t>CYP2C19</w:t>
            </w:r>
            <w:r w:rsidRPr="008314D2">
              <w:rPr>
                <w:rFonts w:eastAsia="Calibri" w:cstheme="minorHAnsi"/>
                <w:noProof/>
              </w:rPr>
              <w:t xml:space="preserve"> genotyping to individualize antiplatelet agent selection in patients with acute coronary syndromes undergoing percutaneous coronary intervention.</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lastRenderedPageBreak/>
              <w:t xml:space="preserve">Employ available dosing tools to start anticoagulation therapy with warfarin in patients with </w:t>
            </w:r>
            <w:r w:rsidRPr="00217C23">
              <w:rPr>
                <w:rFonts w:eastAsia="Calibri" w:cstheme="minorHAnsi"/>
                <w:i/>
                <w:noProof/>
              </w:rPr>
              <w:t>CYP2C9, VKORC1</w:t>
            </w:r>
            <w:r w:rsidRPr="008314D2">
              <w:rPr>
                <w:rFonts w:eastAsia="Calibri" w:cstheme="minorHAnsi"/>
                <w:noProof/>
              </w:rPr>
              <w:t xml:space="preserve">, and </w:t>
            </w:r>
            <w:r w:rsidRPr="00217C23">
              <w:rPr>
                <w:rFonts w:eastAsia="Calibri" w:cstheme="minorHAnsi"/>
                <w:i/>
                <w:noProof/>
              </w:rPr>
              <w:t>CYP4F2</w:t>
            </w:r>
            <w:r w:rsidRPr="008314D2">
              <w:rPr>
                <w:rFonts w:eastAsia="Calibri" w:cstheme="minorHAnsi"/>
                <w:noProof/>
              </w:rPr>
              <w:t xml:space="preserve"> genotyping.</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Interpret evidence-based guidelines for </w:t>
            </w:r>
            <w:r w:rsidRPr="00217C23">
              <w:rPr>
                <w:rFonts w:eastAsia="Calibri" w:cstheme="minorHAnsi"/>
                <w:i/>
                <w:noProof/>
              </w:rPr>
              <w:t>SLCO1B1</w:t>
            </w:r>
            <w:r w:rsidRPr="008314D2">
              <w:rPr>
                <w:rFonts w:eastAsia="Calibri" w:cstheme="minorHAnsi"/>
                <w:noProof/>
              </w:rPr>
              <w:t xml:space="preserve"> to guide simvastatin dosing.</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Describe the role of germline polymorphisms and somatic mutations in oncology. </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Interpret genotype test results to individualize chemotherapy regimen and dosing selection.</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Apply genotype results to individualize supportive care management in oncology patients.</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Describe the utility and considerations for pharmacogenomic testing in the selection and management of pain medication.</w:t>
            </w:r>
          </w:p>
          <w:p w:rsidR="00A65745" w:rsidRPr="008314D2"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Interpret </w:t>
            </w:r>
            <w:r w:rsidRPr="00217C23">
              <w:rPr>
                <w:rFonts w:eastAsia="Calibri" w:cstheme="minorHAnsi"/>
                <w:i/>
                <w:noProof/>
              </w:rPr>
              <w:t>CYP2D6</w:t>
            </w:r>
            <w:r w:rsidRPr="008314D2">
              <w:rPr>
                <w:rFonts w:eastAsia="Calibri" w:cstheme="minorHAnsi"/>
                <w:noProof/>
              </w:rPr>
              <w:t xml:space="preserve"> genotype results to individualize pain medication selection.</w:t>
            </w:r>
          </w:p>
          <w:p w:rsidR="00A65745" w:rsidRDefault="00A65745" w:rsidP="00A65745">
            <w:pPr>
              <w:numPr>
                <w:ilvl w:val="0"/>
                <w:numId w:val="22"/>
              </w:numPr>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r w:rsidRPr="008314D2">
              <w:rPr>
                <w:rFonts w:eastAsia="Calibri" w:cstheme="minorHAnsi"/>
                <w:noProof/>
              </w:rPr>
              <w:t xml:space="preserve">Recognize emerging genetic variations that may be informative for pain medication selection. </w:t>
            </w:r>
          </w:p>
          <w:p w:rsidR="00A65745" w:rsidRPr="00A65745" w:rsidRDefault="00A65745" w:rsidP="00A65745">
            <w:pPr>
              <w:ind w:left="720"/>
              <w:contextualSpacing/>
              <w:cnfStyle w:val="000000100000" w:firstRow="0" w:lastRow="0" w:firstColumn="0" w:lastColumn="0" w:oddVBand="0" w:evenVBand="0" w:oddHBand="1" w:evenHBand="0" w:firstRowFirstColumn="0" w:firstRowLastColumn="0" w:lastRowFirstColumn="0" w:lastRowLastColumn="0"/>
              <w:rPr>
                <w:rFonts w:eastAsia="Calibri" w:cstheme="minorHAnsi"/>
                <w:noProof/>
              </w:rPr>
            </w:pPr>
            <w:bookmarkStart w:id="0" w:name="_GoBack"/>
            <w:bookmarkEnd w:id="0"/>
          </w:p>
        </w:tc>
      </w:tr>
    </w:tbl>
    <w:p w:rsidR="00590860" w:rsidRDefault="00590860" w:rsidP="008314D2">
      <w:pPr>
        <w:pBdr>
          <w:bottom w:val="single" w:sz="6" w:space="1" w:color="auto"/>
        </w:pBdr>
        <w:rPr>
          <w:rFonts w:cstheme="minorHAnsi"/>
          <w:b/>
          <w:color w:val="000099"/>
          <w:sz w:val="24"/>
          <w:szCs w:val="24"/>
        </w:rPr>
      </w:pPr>
    </w:p>
    <w:p w:rsidR="00BD6CB1" w:rsidRPr="008314D2" w:rsidRDefault="00800122" w:rsidP="008314D2">
      <w:pPr>
        <w:pBdr>
          <w:bottom w:val="single" w:sz="6" w:space="1" w:color="auto"/>
        </w:pBdr>
        <w:rPr>
          <w:rFonts w:cstheme="minorHAnsi"/>
          <w:b/>
          <w:color w:val="000099"/>
          <w:sz w:val="24"/>
          <w:szCs w:val="24"/>
        </w:rPr>
      </w:pPr>
      <w:r w:rsidRPr="008314D2">
        <w:rPr>
          <w:rFonts w:cstheme="minorHAnsi"/>
          <w:b/>
          <w:color w:val="000099"/>
          <w:sz w:val="24"/>
          <w:szCs w:val="24"/>
        </w:rPr>
        <w:t>Disclosure of Relevant Financial Relationships</w:t>
      </w:r>
    </w:p>
    <w:p w:rsidR="00822BA0" w:rsidRPr="008314D2" w:rsidRDefault="00822BA0" w:rsidP="008314D2">
      <w:pPr>
        <w:rPr>
          <w:rFonts w:eastAsia="Times New Roman" w:cstheme="minorHAnsi"/>
          <w:bCs/>
          <w:i/>
        </w:rPr>
      </w:pPr>
      <w:r w:rsidRPr="008314D2">
        <w:rPr>
          <w:rFonts w:eastAsia="Times New Roman" w:cstheme="minorHAnsi"/>
          <w:bCs/>
        </w:rPr>
        <w:t xml:space="preserve">In accordance with the ACPE's and ACCME's Standards for Commercial Support, </w:t>
      </w:r>
      <w:r w:rsidR="00DF5AFD" w:rsidRPr="008314D2">
        <w:rPr>
          <w:rFonts w:eastAsia="Times New Roman" w:cstheme="minorHAnsi"/>
          <w:bCs/>
        </w:rPr>
        <w:t>anyone</w:t>
      </w:r>
      <w:r w:rsidRPr="008314D2">
        <w:rPr>
          <w:rFonts w:eastAsia="Times New Roman" w:cstheme="minorHAnsi"/>
          <w:bCs/>
        </w:rPr>
        <w:t xml:space="preserve"> in a position to control the content of an educational activity is required to disclose to the accredited provider their relevant financial relationships.</w:t>
      </w:r>
      <w:r w:rsidR="00DF5AFD" w:rsidRPr="008314D2">
        <w:rPr>
          <w:rFonts w:eastAsia="Times New Roman" w:cstheme="minorHAnsi"/>
          <w:bCs/>
        </w:rPr>
        <w:t xml:space="preserve"> In accordance with these Standards, all potential conflict</w:t>
      </w:r>
      <w:r w:rsidR="00076D15">
        <w:rPr>
          <w:rFonts w:eastAsia="Times New Roman" w:cstheme="minorHAnsi"/>
          <w:bCs/>
        </w:rPr>
        <w:t>s</w:t>
      </w:r>
      <w:r w:rsidR="00DF5AFD" w:rsidRPr="008314D2">
        <w:rPr>
          <w:rFonts w:eastAsia="Times New Roman" w:cstheme="minorHAnsi"/>
          <w:bCs/>
        </w:rPr>
        <w:t xml:space="preserve"> of interest have been resolved. </w:t>
      </w:r>
      <w:r w:rsidRPr="008314D2">
        <w:rPr>
          <w:rFonts w:eastAsia="Times New Roman" w:cstheme="minorHAnsi"/>
          <w:bCs/>
        </w:rPr>
        <w:t xml:space="preserve"> </w:t>
      </w:r>
      <w:r w:rsidRPr="008314D2">
        <w:rPr>
          <w:rFonts w:eastAsia="Times New Roman" w:cstheme="minorHAnsi"/>
          <w:bCs/>
          <w:i/>
        </w:rPr>
        <w:t xml:space="preserve">An individual has a </w:t>
      </w:r>
      <w:r w:rsidRPr="008314D2">
        <w:rPr>
          <w:rFonts w:eastAsia="Times New Roman" w:cstheme="minorHAnsi"/>
          <w:b/>
          <w:bCs/>
          <w:i/>
        </w:rPr>
        <w:t>relevant financial relationship</w:t>
      </w:r>
      <w:r w:rsidRPr="008314D2">
        <w:rPr>
          <w:rFonts w:eastAsia="Times New Roman" w:cstheme="minorHAnsi"/>
          <w:bCs/>
          <w:i/>
        </w:rPr>
        <w:t xml:space="preserve"> if he or she (or spouse/domestic partner) has a financial relationship in any amount occurring in the last 12 months with a commercial interest whose products or services are discussed in the activity content over which the individual has control.</w:t>
      </w:r>
    </w:p>
    <w:p w:rsidR="00822BA0" w:rsidRPr="008314D2" w:rsidRDefault="00822BA0" w:rsidP="008314D2">
      <w:pPr>
        <w:rPr>
          <w:rFonts w:eastAsia="Times New Roman" w:cstheme="minorHAnsi"/>
          <w:bCs/>
        </w:rPr>
      </w:pPr>
    </w:p>
    <w:p w:rsidR="00822BA0" w:rsidRPr="008314D2" w:rsidRDefault="00DF5AFD" w:rsidP="008314D2">
      <w:pPr>
        <w:rPr>
          <w:rFonts w:eastAsia="Times New Roman" w:cstheme="minorHAnsi"/>
          <w:bCs/>
        </w:rPr>
      </w:pPr>
      <w:r w:rsidRPr="008314D2">
        <w:rPr>
          <w:rFonts w:eastAsia="Times New Roman" w:cstheme="minorHAnsi"/>
          <w:bCs/>
        </w:rPr>
        <w:t xml:space="preserve">As defined by ACCME, a </w:t>
      </w:r>
      <w:r w:rsidR="00822BA0" w:rsidRPr="008314D2">
        <w:rPr>
          <w:rFonts w:eastAsia="Times New Roman" w:cstheme="minorHAnsi"/>
          <w:b/>
          <w:bCs/>
        </w:rPr>
        <w:t>commercial interest</w:t>
      </w:r>
      <w:r w:rsidR="00822BA0" w:rsidRPr="008314D2">
        <w:rPr>
          <w:rFonts w:eastAsia="Times New Roman" w:cstheme="minorHAnsi"/>
          <w:bCs/>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rsidR="00822BA0" w:rsidRPr="008314D2" w:rsidRDefault="00822BA0" w:rsidP="008314D2">
      <w:pPr>
        <w:rPr>
          <w:rFonts w:eastAsia="Times New Roman" w:cstheme="minorHAnsi"/>
          <w:bCs/>
        </w:rPr>
      </w:pPr>
    </w:p>
    <w:p w:rsidR="00822BA0" w:rsidRPr="008314D2" w:rsidRDefault="00822BA0" w:rsidP="008314D2">
      <w:pPr>
        <w:pStyle w:val="ListParagraph"/>
        <w:numPr>
          <w:ilvl w:val="0"/>
          <w:numId w:val="21"/>
        </w:numPr>
        <w:spacing w:after="0" w:line="240" w:lineRule="auto"/>
        <w:rPr>
          <w:rFonts w:eastAsia="Times New Roman" w:cstheme="minorHAnsi"/>
          <w:b/>
          <w:bCs/>
        </w:rPr>
      </w:pPr>
      <w:r w:rsidRPr="008314D2">
        <w:rPr>
          <w:rFonts w:eastAsia="Times New Roman" w:cstheme="minorHAnsi"/>
          <w:b/>
          <w:bCs/>
        </w:rPr>
        <w:t xml:space="preserve">Henry “Mark” Dunnenberger, </w:t>
      </w:r>
      <w:r w:rsidRPr="008314D2">
        <w:rPr>
          <w:rFonts w:eastAsia="Times New Roman" w:cstheme="minorHAnsi"/>
          <w:bCs/>
        </w:rPr>
        <w:t>Consultant:</w:t>
      </w:r>
      <w:r w:rsidRPr="008314D2">
        <w:rPr>
          <w:rFonts w:eastAsia="Times New Roman" w:cstheme="minorHAnsi"/>
          <w:b/>
          <w:bCs/>
        </w:rPr>
        <w:t xml:space="preserve"> </w:t>
      </w:r>
      <w:r w:rsidRPr="008314D2">
        <w:rPr>
          <w:rFonts w:eastAsia="Times New Roman" w:cstheme="minorHAnsi"/>
          <w:bCs/>
        </w:rPr>
        <w:t>Veritas Genetics</w:t>
      </w:r>
    </w:p>
    <w:p w:rsidR="00822BA0" w:rsidRPr="008314D2" w:rsidRDefault="00822BA0" w:rsidP="008314D2">
      <w:pPr>
        <w:numPr>
          <w:ilvl w:val="0"/>
          <w:numId w:val="21"/>
        </w:numPr>
        <w:rPr>
          <w:rFonts w:eastAsia="Times New Roman" w:cstheme="minorHAnsi"/>
          <w:b/>
          <w:bCs/>
        </w:rPr>
      </w:pPr>
      <w:r w:rsidRPr="008314D2">
        <w:rPr>
          <w:rFonts w:eastAsia="Times New Roman" w:cstheme="minorHAnsi"/>
          <w:b/>
          <w:bCs/>
        </w:rPr>
        <w:t>All other planners, presenters, reviewers</w:t>
      </w:r>
      <w:r w:rsidR="00DF5AFD" w:rsidRPr="008314D2">
        <w:rPr>
          <w:rFonts w:eastAsia="Times New Roman" w:cstheme="minorHAnsi"/>
          <w:b/>
          <w:bCs/>
        </w:rPr>
        <w:t>, and ASHP staff</w:t>
      </w:r>
      <w:r w:rsidRPr="008314D2">
        <w:rPr>
          <w:rFonts w:eastAsia="Times New Roman" w:cstheme="minorHAnsi"/>
          <w:b/>
          <w:bCs/>
        </w:rPr>
        <w:t xml:space="preserve"> report no financial relationships relevant to this activity.</w:t>
      </w:r>
    </w:p>
    <w:p w:rsidR="00822BA0" w:rsidRPr="008314D2" w:rsidRDefault="00822BA0" w:rsidP="008314D2">
      <w:pPr>
        <w:rPr>
          <w:rFonts w:eastAsia="Times New Roman" w:cstheme="minorHAnsi"/>
          <w:b/>
          <w:bCs/>
        </w:rPr>
      </w:pPr>
    </w:p>
    <w:p w:rsidR="00822BA0" w:rsidRPr="008314D2" w:rsidRDefault="00822BA0" w:rsidP="008314D2">
      <w:pPr>
        <w:pBdr>
          <w:bottom w:val="single" w:sz="4" w:space="1" w:color="auto"/>
        </w:pBdr>
        <w:rPr>
          <w:rFonts w:cstheme="minorHAnsi"/>
          <w:b/>
          <w:color w:val="000099"/>
          <w:sz w:val="24"/>
          <w:szCs w:val="24"/>
        </w:rPr>
      </w:pPr>
      <w:r w:rsidRPr="008314D2">
        <w:rPr>
          <w:rFonts w:cstheme="minorHAnsi"/>
          <w:b/>
          <w:color w:val="000099"/>
          <w:sz w:val="24"/>
          <w:szCs w:val="24"/>
        </w:rPr>
        <w:t>Methods and CE Requirements</w:t>
      </w:r>
    </w:p>
    <w:p w:rsidR="00822BA0" w:rsidRPr="008314D2" w:rsidRDefault="00822BA0" w:rsidP="008314D2">
      <w:pPr>
        <w:rPr>
          <w:rFonts w:cstheme="minorHAnsi"/>
        </w:rPr>
      </w:pPr>
      <w:r w:rsidRPr="008314D2">
        <w:rPr>
          <w:rFonts w:cstheme="minorHAnsi"/>
        </w:rPr>
        <w:t xml:space="preserve">This online activity consists of a combined total of 8 learning modules.  Pharmacists are eligible to receive a total of 18.25 hours of continuing education credit by completing all 8 modules within this certificate program. </w:t>
      </w:r>
    </w:p>
    <w:p w:rsidR="00822BA0" w:rsidRPr="008314D2" w:rsidRDefault="00822BA0" w:rsidP="008314D2">
      <w:pPr>
        <w:rPr>
          <w:rFonts w:cstheme="minorHAnsi"/>
        </w:rPr>
      </w:pPr>
    </w:p>
    <w:p w:rsidR="00822BA0" w:rsidRPr="008314D2" w:rsidRDefault="00822BA0" w:rsidP="008314D2">
      <w:pPr>
        <w:rPr>
          <w:rFonts w:eastAsia="Times New Roman" w:cstheme="minorHAnsi"/>
        </w:rPr>
      </w:pPr>
      <w:r w:rsidRPr="008314D2">
        <w:rPr>
          <w:rFonts w:eastAsia="Times New Roman" w:cstheme="minorHAnsi"/>
        </w:rPr>
        <w:t xml:space="preserve">Participants must participate in the entire activity and complete the evaluation to earn continuing pharmacy education credit.  Follow the prompts online at the ASHP eLearning portal </w:t>
      </w:r>
      <w:r w:rsidRPr="008314D2">
        <w:rPr>
          <w:rFonts w:eastAsia="Times New Roman" w:cstheme="minorHAnsi"/>
        </w:rPr>
        <w:lastRenderedPageBreak/>
        <w:t>(</w:t>
      </w:r>
      <w:hyperlink r:id="rId8" w:history="1">
        <w:r w:rsidRPr="008314D2">
          <w:rPr>
            <w:rStyle w:val="Hyperlink"/>
            <w:rFonts w:eastAsia="Times New Roman" w:cstheme="minorHAnsi"/>
          </w:rPr>
          <w:t>http://elearning.ashp.org</w:t>
        </w:r>
      </w:hyperlink>
      <w:r w:rsidRPr="008314D2">
        <w:rPr>
          <w:rFonts w:eastAsia="Times New Roman" w:cstheme="minorHAnsi"/>
        </w:rPr>
        <w:t>)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eProfile account to validate your credits were transferred successfully before the ACPE 60-day deadline.  After the 60 day deadline, ASHP will no longer be able to award credit</w:t>
      </w:r>
      <w:r w:rsidR="003A1819">
        <w:rPr>
          <w:rFonts w:eastAsia="Times New Roman" w:cstheme="minorHAnsi"/>
        </w:rPr>
        <w:t xml:space="preserve"> for this activity</w:t>
      </w:r>
      <w:r w:rsidRPr="008314D2">
        <w:rPr>
          <w:rFonts w:eastAsia="Times New Roman" w:cstheme="minorHAnsi"/>
        </w:rPr>
        <w:t>.</w:t>
      </w:r>
    </w:p>
    <w:p w:rsidR="00822BA0" w:rsidRPr="008314D2" w:rsidRDefault="00822BA0" w:rsidP="008314D2">
      <w:pPr>
        <w:pBdr>
          <w:bottom w:val="single" w:sz="6" w:space="1" w:color="auto"/>
        </w:pBdr>
        <w:rPr>
          <w:rFonts w:eastAsia="Times New Roman" w:cstheme="minorHAnsi"/>
          <w:b/>
          <w:color w:val="000099"/>
          <w:sz w:val="24"/>
          <w:szCs w:val="24"/>
        </w:rPr>
      </w:pPr>
    </w:p>
    <w:p w:rsidR="00BE2A87" w:rsidRPr="008314D2" w:rsidRDefault="00BE2A87" w:rsidP="008314D2">
      <w:pPr>
        <w:pBdr>
          <w:bottom w:val="single" w:sz="6" w:space="1" w:color="auto"/>
        </w:pBdr>
        <w:rPr>
          <w:rFonts w:eastAsia="Times New Roman" w:cstheme="minorHAnsi"/>
          <w:color w:val="000099"/>
          <w:sz w:val="24"/>
          <w:szCs w:val="24"/>
        </w:rPr>
      </w:pPr>
      <w:r w:rsidRPr="008314D2">
        <w:rPr>
          <w:rFonts w:eastAsia="Times New Roman" w:cstheme="minorHAnsi"/>
          <w:b/>
          <w:color w:val="000099"/>
          <w:sz w:val="24"/>
          <w:szCs w:val="24"/>
        </w:rPr>
        <w:t>System Technical Requirements</w:t>
      </w:r>
    </w:p>
    <w:p w:rsidR="00BE2A87" w:rsidRPr="008314D2" w:rsidRDefault="00BE2A87" w:rsidP="008314D2">
      <w:pPr>
        <w:rPr>
          <w:rFonts w:eastAsia="Times New Roman" w:cstheme="minorHAnsi"/>
          <w:lang w:val="en"/>
        </w:rPr>
      </w:pPr>
      <w:r w:rsidRPr="008314D2">
        <w:rPr>
          <w:rFonts w:eastAsia="Times New Roman" w:cstheme="minorHAnsi"/>
          <w:lang w:val="en"/>
        </w:rPr>
        <w:t xml:space="preserve">Courses and learning activities are delivered via your Web browser and Acrobat PDF.  Users should have a basic comfort level using a computer and navigating websites. </w:t>
      </w:r>
    </w:p>
    <w:p w:rsidR="00BE2A87" w:rsidRPr="008314D2" w:rsidRDefault="00BE2A87" w:rsidP="008314D2">
      <w:pPr>
        <w:rPr>
          <w:rFonts w:eastAsia="Times New Roman" w:cstheme="minorHAnsi"/>
          <w:lang w:val="en"/>
        </w:rPr>
      </w:pPr>
    </w:p>
    <w:p w:rsidR="00BE2A87" w:rsidRPr="008314D2" w:rsidRDefault="00BE2A87" w:rsidP="008314D2">
      <w:pPr>
        <w:rPr>
          <w:rFonts w:eastAsia="Times New Roman" w:cstheme="minorHAnsi"/>
          <w:lang w:val="en"/>
        </w:rPr>
      </w:pPr>
      <w:r w:rsidRPr="008314D2">
        <w:rPr>
          <w:rFonts w:eastAsia="Times New Roman" w:cstheme="minorHAnsi"/>
          <w:lang w:val="en"/>
        </w:rPr>
        <w:t xml:space="preserve">View the </w:t>
      </w:r>
      <w:hyperlink r:id="rId9" w:history="1">
        <w:r w:rsidRPr="008314D2">
          <w:rPr>
            <w:rFonts w:eastAsia="Times New Roman" w:cstheme="minorHAnsi"/>
            <w:color w:val="0000FF" w:themeColor="hyperlink"/>
            <w:u w:val="single"/>
            <w:lang w:val="en"/>
          </w:rPr>
          <w:t>minimum technical and system requirements</w:t>
        </w:r>
      </w:hyperlink>
      <w:r w:rsidRPr="008314D2">
        <w:rPr>
          <w:rFonts w:eastAsia="Times New Roman" w:cstheme="minorHAnsi"/>
          <w:lang w:val="en"/>
        </w:rPr>
        <w:t xml:space="preserve"> for learning activities. </w:t>
      </w:r>
    </w:p>
    <w:p w:rsidR="00BE2A87" w:rsidRPr="008314D2" w:rsidRDefault="00BE2A87" w:rsidP="008314D2">
      <w:pPr>
        <w:rPr>
          <w:rFonts w:eastAsia="Times New Roman" w:cstheme="minorHAnsi"/>
        </w:rPr>
      </w:pPr>
    </w:p>
    <w:p w:rsidR="00BD6CB1" w:rsidRPr="008314D2" w:rsidRDefault="005E6078" w:rsidP="008314D2">
      <w:pPr>
        <w:pBdr>
          <w:bottom w:val="single" w:sz="6" w:space="1" w:color="auto"/>
        </w:pBdr>
        <w:rPr>
          <w:rFonts w:cstheme="minorHAnsi"/>
          <w:b/>
          <w:color w:val="000099"/>
          <w:sz w:val="24"/>
          <w:szCs w:val="24"/>
        </w:rPr>
      </w:pPr>
      <w:r w:rsidRPr="008314D2">
        <w:rPr>
          <w:rFonts w:cstheme="minorHAnsi"/>
          <w:b/>
          <w:color w:val="000099"/>
          <w:sz w:val="24"/>
          <w:szCs w:val="24"/>
        </w:rPr>
        <w:t>Acknowledgement</w:t>
      </w:r>
      <w:r w:rsidR="00BD6CB1" w:rsidRPr="008314D2">
        <w:rPr>
          <w:rFonts w:cstheme="minorHAnsi"/>
          <w:b/>
          <w:color w:val="000099"/>
          <w:sz w:val="24"/>
          <w:szCs w:val="24"/>
        </w:rPr>
        <w:t>s of Support</w:t>
      </w:r>
      <w:r w:rsidRPr="008314D2">
        <w:rPr>
          <w:rFonts w:cstheme="minorHAnsi"/>
          <w:b/>
          <w:color w:val="000099"/>
          <w:sz w:val="24"/>
          <w:szCs w:val="24"/>
        </w:rPr>
        <w:t xml:space="preserve"> </w:t>
      </w:r>
    </w:p>
    <w:p w:rsidR="00BE2A87" w:rsidRPr="008314D2" w:rsidRDefault="005B7B11" w:rsidP="008314D2">
      <w:pPr>
        <w:rPr>
          <w:rFonts w:cstheme="minorHAnsi"/>
        </w:rPr>
      </w:pPr>
      <w:r w:rsidRPr="008314D2">
        <w:rPr>
          <w:rFonts w:eastAsia="Times New Roman" w:cstheme="minorHAnsi"/>
          <w:bCs/>
        </w:rPr>
        <w:t>This act</w:t>
      </w:r>
      <w:r w:rsidR="00EC4F90" w:rsidRPr="008314D2">
        <w:rPr>
          <w:rFonts w:eastAsia="Times New Roman" w:cstheme="minorHAnsi"/>
          <w:bCs/>
        </w:rPr>
        <w:t>ivity was planned and developed</w:t>
      </w:r>
      <w:r w:rsidR="009364C2" w:rsidRPr="008314D2">
        <w:rPr>
          <w:rFonts w:eastAsia="Times New Roman" w:cstheme="minorHAnsi"/>
          <w:bCs/>
        </w:rPr>
        <w:t xml:space="preserve"> by </w:t>
      </w:r>
      <w:r w:rsidR="00BD6CB1" w:rsidRPr="008314D2">
        <w:rPr>
          <w:rFonts w:eastAsia="Times New Roman" w:cstheme="minorHAnsi"/>
          <w:bCs/>
        </w:rPr>
        <w:t>The American Society of Health-System Pharmacists</w:t>
      </w:r>
      <w:r w:rsidR="00956007" w:rsidRPr="008314D2">
        <w:rPr>
          <w:rFonts w:cstheme="minorHAnsi"/>
        </w:rPr>
        <w:t>.</w:t>
      </w:r>
    </w:p>
    <w:sectPr w:rsidR="00BE2A87" w:rsidRPr="008314D2" w:rsidSect="00A6574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5A9" w:rsidRDefault="005515A9" w:rsidP="00773422">
      <w:r>
        <w:separator/>
      </w:r>
    </w:p>
  </w:endnote>
  <w:endnote w:type="continuationSeparator" w:id="0">
    <w:p w:rsidR="005515A9" w:rsidRDefault="005515A9"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C82" w:rsidRPr="003F4C82" w:rsidRDefault="003F4C82"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A65745">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5A9" w:rsidRDefault="005515A9" w:rsidP="00773422">
      <w:r>
        <w:separator/>
      </w:r>
    </w:p>
  </w:footnote>
  <w:footnote w:type="continuationSeparator" w:id="0">
    <w:p w:rsidR="005515A9" w:rsidRDefault="005515A9"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D2" w:rsidRDefault="008314D2" w:rsidP="008314D2">
    <w:pPr>
      <w:rPr>
        <w:b/>
      </w:rPr>
    </w:pPr>
    <w:r>
      <w:rPr>
        <w:b/>
        <w:noProof/>
      </w:rPr>
      <w:drawing>
        <wp:inline distT="0" distB="0" distL="0" distR="0">
          <wp:extent cx="1561652" cy="40943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hp-logo-rgb-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2650" cy="412316"/>
                  </a:xfrm>
                  <a:prstGeom prst="rect">
                    <a:avLst/>
                  </a:prstGeom>
                </pic:spPr>
              </pic:pic>
            </a:graphicData>
          </a:graphic>
        </wp:inline>
      </w:drawing>
    </w:r>
  </w:p>
  <w:p w:rsidR="00773422" w:rsidRDefault="002B2DD0" w:rsidP="008314D2">
    <w:pPr>
      <w:jc w:val="center"/>
      <w:rPr>
        <w:b/>
      </w:rPr>
    </w:pPr>
    <w:r>
      <w:rPr>
        <w:b/>
      </w:rPr>
      <w:t>CE Activity Announcement</w:t>
    </w:r>
  </w:p>
  <w:p w:rsidR="00773422" w:rsidRPr="00773422" w:rsidRDefault="00773422" w:rsidP="00773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73C99"/>
    <w:multiLevelType w:val="hybridMultilevel"/>
    <w:tmpl w:val="18A0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04406"/>
    <w:multiLevelType w:val="hybridMultilevel"/>
    <w:tmpl w:val="C2D8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62966"/>
    <w:multiLevelType w:val="hybridMultilevel"/>
    <w:tmpl w:val="BE36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7270"/>
    <w:multiLevelType w:val="hybridMultilevel"/>
    <w:tmpl w:val="FC74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3476B"/>
    <w:multiLevelType w:val="hybridMultilevel"/>
    <w:tmpl w:val="2F84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D1D09"/>
    <w:multiLevelType w:val="hybridMultilevel"/>
    <w:tmpl w:val="329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B7127"/>
    <w:multiLevelType w:val="hybridMultilevel"/>
    <w:tmpl w:val="AC20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49C"/>
    <w:multiLevelType w:val="hybridMultilevel"/>
    <w:tmpl w:val="0D90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156E4B"/>
    <w:multiLevelType w:val="hybridMultilevel"/>
    <w:tmpl w:val="EEC2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CC6889"/>
    <w:multiLevelType w:val="hybridMultilevel"/>
    <w:tmpl w:val="2EA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A0D8C"/>
    <w:multiLevelType w:val="hybridMultilevel"/>
    <w:tmpl w:val="DCFA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7C47A5"/>
    <w:multiLevelType w:val="hybridMultilevel"/>
    <w:tmpl w:val="8692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501A0"/>
    <w:multiLevelType w:val="hybridMultilevel"/>
    <w:tmpl w:val="260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53C12"/>
    <w:multiLevelType w:val="hybridMultilevel"/>
    <w:tmpl w:val="8C9A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8969BE"/>
    <w:multiLevelType w:val="hybridMultilevel"/>
    <w:tmpl w:val="E67C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87A8E"/>
    <w:multiLevelType w:val="hybridMultilevel"/>
    <w:tmpl w:val="F32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D44EBB"/>
    <w:multiLevelType w:val="hybridMultilevel"/>
    <w:tmpl w:val="5B44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741A24"/>
    <w:multiLevelType w:val="hybridMultilevel"/>
    <w:tmpl w:val="24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E7289"/>
    <w:multiLevelType w:val="hybridMultilevel"/>
    <w:tmpl w:val="9214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655BB"/>
    <w:multiLevelType w:val="hybridMultilevel"/>
    <w:tmpl w:val="7C86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1"/>
  </w:num>
  <w:num w:numId="4">
    <w:abstractNumId w:val="25"/>
  </w:num>
  <w:num w:numId="5">
    <w:abstractNumId w:val="13"/>
  </w:num>
  <w:num w:numId="6">
    <w:abstractNumId w:val="7"/>
  </w:num>
  <w:num w:numId="7">
    <w:abstractNumId w:val="21"/>
  </w:num>
  <w:num w:numId="8">
    <w:abstractNumId w:val="29"/>
  </w:num>
  <w:num w:numId="9">
    <w:abstractNumId w:val="0"/>
  </w:num>
  <w:num w:numId="10">
    <w:abstractNumId w:val="24"/>
  </w:num>
  <w:num w:numId="11">
    <w:abstractNumId w:val="15"/>
  </w:num>
  <w:num w:numId="12">
    <w:abstractNumId w:val="9"/>
  </w:num>
  <w:num w:numId="13">
    <w:abstractNumId w:val="23"/>
  </w:num>
  <w:num w:numId="14">
    <w:abstractNumId w:val="8"/>
  </w:num>
  <w:num w:numId="15">
    <w:abstractNumId w:val="28"/>
  </w:num>
  <w:num w:numId="16">
    <w:abstractNumId w:val="4"/>
  </w:num>
  <w:num w:numId="17">
    <w:abstractNumId w:val="19"/>
  </w:num>
  <w:num w:numId="18">
    <w:abstractNumId w:val="1"/>
  </w:num>
  <w:num w:numId="19">
    <w:abstractNumId w:val="2"/>
  </w:num>
  <w:num w:numId="20">
    <w:abstractNumId w:val="26"/>
  </w:num>
  <w:num w:numId="21">
    <w:abstractNumId w:val="20"/>
  </w:num>
  <w:num w:numId="22">
    <w:abstractNumId w:val="12"/>
  </w:num>
  <w:num w:numId="23">
    <w:abstractNumId w:val="14"/>
  </w:num>
  <w:num w:numId="24">
    <w:abstractNumId w:val="3"/>
  </w:num>
  <w:num w:numId="25">
    <w:abstractNumId w:val="27"/>
  </w:num>
  <w:num w:numId="26">
    <w:abstractNumId w:val="5"/>
  </w:num>
  <w:num w:numId="27">
    <w:abstractNumId w:val="6"/>
  </w:num>
  <w:num w:numId="28">
    <w:abstractNumId w:val="22"/>
  </w:num>
  <w:num w:numId="29">
    <w:abstractNumId w:val="17"/>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22087"/>
    <w:rsid w:val="000465EE"/>
    <w:rsid w:val="00076D15"/>
    <w:rsid w:val="00080FE5"/>
    <w:rsid w:val="00094C99"/>
    <w:rsid w:val="000B3A88"/>
    <w:rsid w:val="000C0738"/>
    <w:rsid w:val="000E00D4"/>
    <w:rsid w:val="000F5A8D"/>
    <w:rsid w:val="00160029"/>
    <w:rsid w:val="001E36A3"/>
    <w:rsid w:val="002025D7"/>
    <w:rsid w:val="00214733"/>
    <w:rsid w:val="002169A9"/>
    <w:rsid w:val="00217C23"/>
    <w:rsid w:val="0022335C"/>
    <w:rsid w:val="002B2DD0"/>
    <w:rsid w:val="002C3E60"/>
    <w:rsid w:val="002E7B9E"/>
    <w:rsid w:val="002F4AD8"/>
    <w:rsid w:val="003240FB"/>
    <w:rsid w:val="00341C4D"/>
    <w:rsid w:val="00350B47"/>
    <w:rsid w:val="003720D7"/>
    <w:rsid w:val="003A1819"/>
    <w:rsid w:val="003C4742"/>
    <w:rsid w:val="003E2796"/>
    <w:rsid w:val="003F4C82"/>
    <w:rsid w:val="00401E9B"/>
    <w:rsid w:val="0041030C"/>
    <w:rsid w:val="00415C78"/>
    <w:rsid w:val="00425B98"/>
    <w:rsid w:val="0043149C"/>
    <w:rsid w:val="00452E9A"/>
    <w:rsid w:val="00461C6A"/>
    <w:rsid w:val="0049172C"/>
    <w:rsid w:val="00492840"/>
    <w:rsid w:val="00495032"/>
    <w:rsid w:val="004977A6"/>
    <w:rsid w:val="004D2602"/>
    <w:rsid w:val="004F2F67"/>
    <w:rsid w:val="005116D0"/>
    <w:rsid w:val="005132BC"/>
    <w:rsid w:val="00524D08"/>
    <w:rsid w:val="005412A8"/>
    <w:rsid w:val="005515A9"/>
    <w:rsid w:val="00561C48"/>
    <w:rsid w:val="00570E2A"/>
    <w:rsid w:val="0057383A"/>
    <w:rsid w:val="00585BD9"/>
    <w:rsid w:val="00590860"/>
    <w:rsid w:val="005914D4"/>
    <w:rsid w:val="00593CAF"/>
    <w:rsid w:val="005A15C5"/>
    <w:rsid w:val="005A3920"/>
    <w:rsid w:val="005B33B1"/>
    <w:rsid w:val="005B7B11"/>
    <w:rsid w:val="005D6704"/>
    <w:rsid w:val="005D6810"/>
    <w:rsid w:val="005E6078"/>
    <w:rsid w:val="00615E2C"/>
    <w:rsid w:val="00694ABA"/>
    <w:rsid w:val="006B6C7C"/>
    <w:rsid w:val="006C577E"/>
    <w:rsid w:val="006F182A"/>
    <w:rsid w:val="00726439"/>
    <w:rsid w:val="0074681A"/>
    <w:rsid w:val="007663BF"/>
    <w:rsid w:val="00773422"/>
    <w:rsid w:val="00791876"/>
    <w:rsid w:val="007A66D6"/>
    <w:rsid w:val="007C0DD9"/>
    <w:rsid w:val="007C4F00"/>
    <w:rsid w:val="007E1E9C"/>
    <w:rsid w:val="00800122"/>
    <w:rsid w:val="00802F5C"/>
    <w:rsid w:val="00806BC4"/>
    <w:rsid w:val="00822BA0"/>
    <w:rsid w:val="00830D05"/>
    <w:rsid w:val="008314D2"/>
    <w:rsid w:val="00852E38"/>
    <w:rsid w:val="00853C5A"/>
    <w:rsid w:val="008C38FC"/>
    <w:rsid w:val="008C4B94"/>
    <w:rsid w:val="008D39EB"/>
    <w:rsid w:val="008F54A4"/>
    <w:rsid w:val="00913422"/>
    <w:rsid w:val="009364C2"/>
    <w:rsid w:val="00956007"/>
    <w:rsid w:val="009810E4"/>
    <w:rsid w:val="00992478"/>
    <w:rsid w:val="009A1E59"/>
    <w:rsid w:val="009A2FAF"/>
    <w:rsid w:val="009A3930"/>
    <w:rsid w:val="009C045B"/>
    <w:rsid w:val="009C6C97"/>
    <w:rsid w:val="009E238B"/>
    <w:rsid w:val="00A0012B"/>
    <w:rsid w:val="00A02575"/>
    <w:rsid w:val="00A02D70"/>
    <w:rsid w:val="00A65745"/>
    <w:rsid w:val="00AA7F23"/>
    <w:rsid w:val="00AB332B"/>
    <w:rsid w:val="00AD3DD1"/>
    <w:rsid w:val="00AF1F51"/>
    <w:rsid w:val="00B2472D"/>
    <w:rsid w:val="00B54D60"/>
    <w:rsid w:val="00B72073"/>
    <w:rsid w:val="00B76E21"/>
    <w:rsid w:val="00B8206F"/>
    <w:rsid w:val="00BB15F0"/>
    <w:rsid w:val="00BD4DC1"/>
    <w:rsid w:val="00BD6CB1"/>
    <w:rsid w:val="00BE2A87"/>
    <w:rsid w:val="00BF57FD"/>
    <w:rsid w:val="00C24FE8"/>
    <w:rsid w:val="00C30974"/>
    <w:rsid w:val="00C35552"/>
    <w:rsid w:val="00CB47B3"/>
    <w:rsid w:val="00CF33DB"/>
    <w:rsid w:val="00CF62E9"/>
    <w:rsid w:val="00D15013"/>
    <w:rsid w:val="00D15C41"/>
    <w:rsid w:val="00D23079"/>
    <w:rsid w:val="00D722F5"/>
    <w:rsid w:val="00D83C0E"/>
    <w:rsid w:val="00DA6655"/>
    <w:rsid w:val="00DE5B86"/>
    <w:rsid w:val="00DF5AFD"/>
    <w:rsid w:val="00E070F2"/>
    <w:rsid w:val="00E26894"/>
    <w:rsid w:val="00E477A9"/>
    <w:rsid w:val="00E914BC"/>
    <w:rsid w:val="00EC4F90"/>
    <w:rsid w:val="00EE788D"/>
    <w:rsid w:val="00EF6AA4"/>
    <w:rsid w:val="00F3086D"/>
    <w:rsid w:val="00F6156B"/>
    <w:rsid w:val="00F90DB1"/>
    <w:rsid w:val="00FB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398996"/>
  <w15:docId w15:val="{395D7C3A-EF68-44A1-AF5B-BA9DBF79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3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table" w:customStyle="1" w:styleId="TableGrid1">
    <w:name w:val="Table Grid1"/>
    <w:basedOn w:val="TableNormal"/>
    <w:next w:val="TableGrid"/>
    <w:uiPriority w:val="59"/>
    <w:rsid w:val="008C4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49172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ghtGrid-Accent1">
    <w:name w:val="Light Grid Accent 1"/>
    <w:basedOn w:val="TableNormal"/>
    <w:uiPriority w:val="62"/>
    <w:rsid w:val="0049172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FollowedHyperlink">
    <w:name w:val="FollowedHyperlink"/>
    <w:basedOn w:val="DefaultParagraphFont"/>
    <w:uiPriority w:val="99"/>
    <w:semiHidden/>
    <w:unhideWhenUsed/>
    <w:rsid w:val="002F4AD8"/>
    <w:rPr>
      <w:color w:val="800080" w:themeColor="followedHyperlink"/>
      <w:u w:val="single"/>
    </w:rPr>
  </w:style>
  <w:style w:type="table" w:styleId="GridTable2-Accent5">
    <w:name w:val="Grid Table 2 Accent 5"/>
    <w:basedOn w:val="TableNormal"/>
    <w:uiPriority w:val="47"/>
    <w:rsid w:val="00726439"/>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
    <w:name w:val="Grid Table 2"/>
    <w:basedOn w:val="TableNormal"/>
    <w:uiPriority w:val="47"/>
    <w:rsid w:val="0072643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72643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0389">
      <w:bodyDiv w:val="1"/>
      <w:marLeft w:val="0"/>
      <w:marRight w:val="0"/>
      <w:marTop w:val="0"/>
      <w:marBottom w:val="0"/>
      <w:divBdr>
        <w:top w:val="none" w:sz="0" w:space="0" w:color="auto"/>
        <w:left w:val="none" w:sz="0" w:space="0" w:color="auto"/>
        <w:bottom w:val="none" w:sz="0" w:space="0" w:color="auto"/>
        <w:right w:val="none" w:sz="0" w:space="0" w:color="auto"/>
      </w:divBdr>
    </w:div>
    <w:div w:id="147475776">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320080825">
      <w:bodyDiv w:val="1"/>
      <w:marLeft w:val="0"/>
      <w:marRight w:val="0"/>
      <w:marTop w:val="0"/>
      <w:marBottom w:val="0"/>
      <w:divBdr>
        <w:top w:val="none" w:sz="0" w:space="0" w:color="auto"/>
        <w:left w:val="none" w:sz="0" w:space="0" w:color="auto"/>
        <w:bottom w:val="none" w:sz="0" w:space="0" w:color="auto"/>
        <w:right w:val="none" w:sz="0" w:space="0" w:color="auto"/>
      </w:divBdr>
    </w:div>
    <w:div w:id="348600787">
      <w:bodyDiv w:val="1"/>
      <w:marLeft w:val="0"/>
      <w:marRight w:val="0"/>
      <w:marTop w:val="0"/>
      <w:marBottom w:val="0"/>
      <w:divBdr>
        <w:top w:val="none" w:sz="0" w:space="0" w:color="auto"/>
        <w:left w:val="none" w:sz="0" w:space="0" w:color="auto"/>
        <w:bottom w:val="none" w:sz="0" w:space="0" w:color="auto"/>
        <w:right w:val="none" w:sz="0" w:space="0" w:color="auto"/>
      </w:divBdr>
    </w:div>
    <w:div w:id="603877980">
      <w:bodyDiv w:val="1"/>
      <w:marLeft w:val="0"/>
      <w:marRight w:val="0"/>
      <w:marTop w:val="0"/>
      <w:marBottom w:val="0"/>
      <w:divBdr>
        <w:top w:val="none" w:sz="0" w:space="0" w:color="auto"/>
        <w:left w:val="none" w:sz="0" w:space="0" w:color="auto"/>
        <w:bottom w:val="none" w:sz="0" w:space="0" w:color="auto"/>
        <w:right w:val="none" w:sz="0" w:space="0" w:color="auto"/>
      </w:divBdr>
    </w:div>
    <w:div w:id="680162435">
      <w:bodyDiv w:val="1"/>
      <w:marLeft w:val="0"/>
      <w:marRight w:val="0"/>
      <w:marTop w:val="0"/>
      <w:marBottom w:val="0"/>
      <w:divBdr>
        <w:top w:val="none" w:sz="0" w:space="0" w:color="auto"/>
        <w:left w:val="none" w:sz="0" w:space="0" w:color="auto"/>
        <w:bottom w:val="none" w:sz="0" w:space="0" w:color="auto"/>
        <w:right w:val="none" w:sz="0" w:space="0" w:color="auto"/>
      </w:divBdr>
    </w:div>
    <w:div w:id="734546954">
      <w:bodyDiv w:val="1"/>
      <w:marLeft w:val="0"/>
      <w:marRight w:val="0"/>
      <w:marTop w:val="0"/>
      <w:marBottom w:val="0"/>
      <w:divBdr>
        <w:top w:val="none" w:sz="0" w:space="0" w:color="auto"/>
        <w:left w:val="none" w:sz="0" w:space="0" w:color="auto"/>
        <w:bottom w:val="none" w:sz="0" w:space="0" w:color="auto"/>
        <w:right w:val="none" w:sz="0" w:space="0" w:color="auto"/>
      </w:divBdr>
    </w:div>
    <w:div w:id="800727517">
      <w:bodyDiv w:val="1"/>
      <w:marLeft w:val="0"/>
      <w:marRight w:val="0"/>
      <w:marTop w:val="0"/>
      <w:marBottom w:val="0"/>
      <w:divBdr>
        <w:top w:val="none" w:sz="0" w:space="0" w:color="auto"/>
        <w:left w:val="none" w:sz="0" w:space="0" w:color="auto"/>
        <w:bottom w:val="none" w:sz="0" w:space="0" w:color="auto"/>
        <w:right w:val="none" w:sz="0" w:space="0" w:color="auto"/>
      </w:divBdr>
    </w:div>
    <w:div w:id="850220134">
      <w:bodyDiv w:val="1"/>
      <w:marLeft w:val="0"/>
      <w:marRight w:val="0"/>
      <w:marTop w:val="0"/>
      <w:marBottom w:val="0"/>
      <w:divBdr>
        <w:top w:val="none" w:sz="0" w:space="0" w:color="auto"/>
        <w:left w:val="none" w:sz="0" w:space="0" w:color="auto"/>
        <w:bottom w:val="none" w:sz="0" w:space="0" w:color="auto"/>
        <w:right w:val="none" w:sz="0" w:space="0" w:color="auto"/>
      </w:divBdr>
    </w:div>
    <w:div w:id="925188722">
      <w:bodyDiv w:val="1"/>
      <w:marLeft w:val="0"/>
      <w:marRight w:val="0"/>
      <w:marTop w:val="0"/>
      <w:marBottom w:val="0"/>
      <w:divBdr>
        <w:top w:val="none" w:sz="0" w:space="0" w:color="auto"/>
        <w:left w:val="none" w:sz="0" w:space="0" w:color="auto"/>
        <w:bottom w:val="none" w:sz="0" w:space="0" w:color="auto"/>
        <w:right w:val="none" w:sz="0" w:space="0" w:color="auto"/>
      </w:divBdr>
    </w:div>
    <w:div w:id="981498253">
      <w:bodyDiv w:val="1"/>
      <w:marLeft w:val="0"/>
      <w:marRight w:val="0"/>
      <w:marTop w:val="0"/>
      <w:marBottom w:val="0"/>
      <w:divBdr>
        <w:top w:val="none" w:sz="0" w:space="0" w:color="auto"/>
        <w:left w:val="none" w:sz="0" w:space="0" w:color="auto"/>
        <w:bottom w:val="none" w:sz="0" w:space="0" w:color="auto"/>
        <w:right w:val="none" w:sz="0" w:space="0" w:color="auto"/>
      </w:divBdr>
    </w:div>
    <w:div w:id="995962610">
      <w:bodyDiv w:val="1"/>
      <w:marLeft w:val="0"/>
      <w:marRight w:val="0"/>
      <w:marTop w:val="0"/>
      <w:marBottom w:val="0"/>
      <w:divBdr>
        <w:top w:val="none" w:sz="0" w:space="0" w:color="auto"/>
        <w:left w:val="none" w:sz="0" w:space="0" w:color="auto"/>
        <w:bottom w:val="none" w:sz="0" w:space="0" w:color="auto"/>
        <w:right w:val="none" w:sz="0" w:space="0" w:color="auto"/>
      </w:divBdr>
    </w:div>
    <w:div w:id="1028988936">
      <w:bodyDiv w:val="1"/>
      <w:marLeft w:val="0"/>
      <w:marRight w:val="0"/>
      <w:marTop w:val="0"/>
      <w:marBottom w:val="0"/>
      <w:divBdr>
        <w:top w:val="none" w:sz="0" w:space="0" w:color="auto"/>
        <w:left w:val="none" w:sz="0" w:space="0" w:color="auto"/>
        <w:bottom w:val="none" w:sz="0" w:space="0" w:color="auto"/>
        <w:right w:val="none" w:sz="0" w:space="0" w:color="auto"/>
      </w:divBdr>
    </w:div>
    <w:div w:id="108822958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453817531">
      <w:bodyDiv w:val="1"/>
      <w:marLeft w:val="0"/>
      <w:marRight w:val="0"/>
      <w:marTop w:val="0"/>
      <w:marBottom w:val="0"/>
      <w:divBdr>
        <w:top w:val="none" w:sz="0" w:space="0" w:color="auto"/>
        <w:left w:val="none" w:sz="0" w:space="0" w:color="auto"/>
        <w:bottom w:val="none" w:sz="0" w:space="0" w:color="auto"/>
        <w:right w:val="none" w:sz="0" w:space="0" w:color="auto"/>
      </w:divBdr>
    </w:div>
    <w:div w:id="1490708907">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04592006">
      <w:bodyDiv w:val="1"/>
      <w:marLeft w:val="0"/>
      <w:marRight w:val="0"/>
      <w:marTop w:val="0"/>
      <w:marBottom w:val="0"/>
      <w:divBdr>
        <w:top w:val="none" w:sz="0" w:space="0" w:color="auto"/>
        <w:left w:val="none" w:sz="0" w:space="0" w:color="auto"/>
        <w:bottom w:val="none" w:sz="0" w:space="0" w:color="auto"/>
        <w:right w:val="none" w:sz="0" w:space="0" w:color="auto"/>
      </w:divBdr>
    </w:div>
    <w:div w:id="1740205210">
      <w:bodyDiv w:val="1"/>
      <w:marLeft w:val="0"/>
      <w:marRight w:val="0"/>
      <w:marTop w:val="0"/>
      <w:marBottom w:val="0"/>
      <w:divBdr>
        <w:top w:val="none" w:sz="0" w:space="0" w:color="auto"/>
        <w:left w:val="none" w:sz="0" w:space="0" w:color="auto"/>
        <w:bottom w:val="none" w:sz="0" w:space="0" w:color="auto"/>
        <w:right w:val="none" w:sz="0" w:space="0" w:color="auto"/>
      </w:divBdr>
    </w:div>
    <w:div w:id="212333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sh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learning.ashp.org/get-start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4516</Characters>
  <Application>Microsoft Office Word</Application>
  <DocSecurity>0</DocSecurity>
  <Lines>112</Lines>
  <Paragraphs>55</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Jacqui Hakooz</cp:lastModifiedBy>
  <cp:revision>2</cp:revision>
  <cp:lastPrinted>2014-03-05T22:00:00Z</cp:lastPrinted>
  <dcterms:created xsi:type="dcterms:W3CDTF">2018-08-29T18:52:00Z</dcterms:created>
  <dcterms:modified xsi:type="dcterms:W3CDTF">2018-08-29T18:52:00Z</dcterms:modified>
</cp:coreProperties>
</file>