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5FAC301C" w:rsidR="00773422" w:rsidRDefault="00293C0C" w:rsidP="00601D9E">
      <w:pPr>
        <w:pBdr>
          <w:bottom w:val="single" w:sz="6" w:space="1" w:color="auto"/>
        </w:pBdr>
        <w:tabs>
          <w:tab w:val="left" w:pos="9180"/>
        </w:tabs>
        <w:rPr>
          <w:b/>
          <w:color w:val="000099"/>
          <w:sz w:val="24"/>
        </w:rPr>
      </w:pPr>
      <w:r>
        <w:rPr>
          <w:b/>
          <w:color w:val="000099"/>
          <w:sz w:val="24"/>
        </w:rPr>
        <w:t>Medication Reconciliation</w:t>
      </w:r>
      <w:r w:rsidR="003B75F4">
        <w:rPr>
          <w:b/>
          <w:color w:val="000099"/>
          <w:sz w:val="24"/>
        </w:rPr>
        <w:t xml:space="preserve"> Certificate </w:t>
      </w:r>
    </w:p>
    <w:p w14:paraId="7CA61EDE" w14:textId="77777777" w:rsidR="00A02575" w:rsidRDefault="00A02575" w:rsidP="00601D9E">
      <w:pPr>
        <w:rPr>
          <w:sz w:val="20"/>
          <w:szCs w:val="20"/>
        </w:rPr>
      </w:pPr>
    </w:p>
    <w:p w14:paraId="1D1855E9" w14:textId="5EB3DF28" w:rsidR="000D2BC5" w:rsidRPr="00293C0C" w:rsidRDefault="00F3086D" w:rsidP="00601D9E">
      <w:pPr>
        <w:rPr>
          <w:rFonts w:eastAsia="Times New Roman" w:cstheme="minorHAnsi"/>
        </w:rPr>
      </w:pPr>
      <w:r w:rsidRPr="00293C0C">
        <w:rPr>
          <w:rFonts w:cstheme="minorHAnsi"/>
          <w:b/>
          <w:sz w:val="20"/>
          <w:szCs w:val="20"/>
        </w:rPr>
        <w:t>ACPE Activity Number(s):</w:t>
      </w:r>
      <w:r w:rsidR="009A3930" w:rsidRPr="00293C0C">
        <w:rPr>
          <w:rFonts w:cstheme="minorHAnsi"/>
          <w:sz w:val="20"/>
          <w:szCs w:val="20"/>
        </w:rPr>
        <w:t xml:space="preserve"> </w:t>
      </w:r>
      <w:r w:rsidR="00A27BA5" w:rsidRPr="00293C0C">
        <w:rPr>
          <w:rFonts w:eastAsia="Times New Roman" w:cstheme="minorHAnsi"/>
          <w:sz w:val="20"/>
          <w:szCs w:val="20"/>
        </w:rPr>
        <w:t>0204-0000-20-722-H04-P and T thru to 0204-0000-20-728-H03-P and T</w:t>
      </w:r>
      <w:r w:rsidR="00A27BA5" w:rsidRPr="00293C0C">
        <w:rPr>
          <w:rFonts w:eastAsia="Times New Roman" w:cstheme="minorHAnsi"/>
        </w:rPr>
        <w:t xml:space="preserve"> </w:t>
      </w:r>
    </w:p>
    <w:p w14:paraId="3C79EC99" w14:textId="552412DE" w:rsidR="00214733" w:rsidRPr="00514C3A" w:rsidRDefault="009A2FAF" w:rsidP="00601D9E">
      <w:pPr>
        <w:rPr>
          <w:sz w:val="20"/>
          <w:szCs w:val="20"/>
        </w:rPr>
      </w:pPr>
      <w:r w:rsidRPr="00514C3A">
        <w:rPr>
          <w:b/>
          <w:sz w:val="20"/>
          <w:szCs w:val="20"/>
        </w:rPr>
        <w:t>Release Date:</w:t>
      </w:r>
      <w:r w:rsidRPr="00514C3A">
        <w:rPr>
          <w:sz w:val="20"/>
          <w:szCs w:val="20"/>
        </w:rPr>
        <w:t xml:space="preserve">  </w:t>
      </w:r>
      <w:r w:rsidR="00514C3A" w:rsidRPr="00514C3A">
        <w:rPr>
          <w:sz w:val="20"/>
          <w:szCs w:val="20"/>
        </w:rPr>
        <w:t>May 20</w:t>
      </w:r>
      <w:r w:rsidR="00342E1F" w:rsidRPr="00514C3A">
        <w:rPr>
          <w:sz w:val="20"/>
          <w:szCs w:val="20"/>
        </w:rPr>
        <w:t>, 2020</w:t>
      </w:r>
    </w:p>
    <w:p w14:paraId="2C767543" w14:textId="51270D91" w:rsidR="00F3086D" w:rsidRPr="00514C3A" w:rsidRDefault="0000662F" w:rsidP="00601D9E">
      <w:pPr>
        <w:rPr>
          <w:sz w:val="20"/>
          <w:szCs w:val="20"/>
        </w:rPr>
      </w:pPr>
      <w:r w:rsidRPr="00514C3A">
        <w:rPr>
          <w:b/>
          <w:sz w:val="20"/>
          <w:szCs w:val="20"/>
        </w:rPr>
        <w:t>Expiration Date</w:t>
      </w:r>
      <w:r w:rsidR="00773422" w:rsidRPr="00514C3A">
        <w:rPr>
          <w:b/>
          <w:sz w:val="20"/>
          <w:szCs w:val="20"/>
        </w:rPr>
        <w:t>:</w:t>
      </w:r>
      <w:r w:rsidRPr="00514C3A">
        <w:rPr>
          <w:sz w:val="20"/>
          <w:szCs w:val="20"/>
        </w:rPr>
        <w:t xml:space="preserve"> </w:t>
      </w:r>
      <w:r w:rsidR="00514C3A" w:rsidRPr="00514C3A">
        <w:rPr>
          <w:sz w:val="20"/>
          <w:szCs w:val="20"/>
        </w:rPr>
        <w:t>May 20</w:t>
      </w:r>
      <w:r w:rsidR="00342E1F" w:rsidRPr="00514C3A">
        <w:rPr>
          <w:sz w:val="20"/>
          <w:szCs w:val="20"/>
        </w:rPr>
        <w:t>, 2023</w:t>
      </w:r>
    </w:p>
    <w:p w14:paraId="2F262F41" w14:textId="55BD654B" w:rsidR="00D328A8" w:rsidRPr="00514C3A" w:rsidRDefault="00D328A8" w:rsidP="00601D9E">
      <w:pPr>
        <w:rPr>
          <w:sz w:val="20"/>
          <w:szCs w:val="20"/>
        </w:rPr>
      </w:pPr>
      <w:r w:rsidRPr="00514C3A">
        <w:rPr>
          <w:b/>
          <w:sz w:val="20"/>
          <w:szCs w:val="20"/>
        </w:rPr>
        <w:t>Activity Type:</w:t>
      </w:r>
      <w:r w:rsidRPr="00514C3A">
        <w:rPr>
          <w:sz w:val="20"/>
          <w:szCs w:val="20"/>
        </w:rPr>
        <w:t xml:space="preserve"> </w:t>
      </w:r>
      <w:r w:rsidR="00DC08E6" w:rsidRPr="00514C3A">
        <w:rPr>
          <w:sz w:val="20"/>
          <w:szCs w:val="20"/>
        </w:rPr>
        <w:t>Application-based</w:t>
      </w:r>
    </w:p>
    <w:p w14:paraId="498D32CE" w14:textId="7DCA4204" w:rsidR="00E236F0" w:rsidRPr="00514C3A" w:rsidRDefault="00E236F0" w:rsidP="00E236F0">
      <w:pPr>
        <w:rPr>
          <w:sz w:val="20"/>
          <w:szCs w:val="20"/>
        </w:rPr>
      </w:pPr>
      <w:r w:rsidRPr="00514C3A">
        <w:rPr>
          <w:b/>
          <w:sz w:val="20"/>
          <w:szCs w:val="20"/>
        </w:rPr>
        <w:t xml:space="preserve">CE Credit Hour(s): </w:t>
      </w:r>
      <w:r w:rsidR="00514C3A" w:rsidRPr="00514C3A">
        <w:rPr>
          <w:sz w:val="20"/>
          <w:szCs w:val="20"/>
        </w:rPr>
        <w:t>1</w:t>
      </w:r>
      <w:r w:rsidR="00342E1F" w:rsidRPr="00514C3A">
        <w:rPr>
          <w:sz w:val="20"/>
          <w:szCs w:val="20"/>
        </w:rPr>
        <w:t>5</w:t>
      </w:r>
      <w:r w:rsidR="00514C3A" w:rsidRPr="00514C3A">
        <w:rPr>
          <w:sz w:val="20"/>
          <w:szCs w:val="20"/>
        </w:rPr>
        <w:t xml:space="preserve"> hours/7</w:t>
      </w:r>
      <w:r w:rsidR="00DC08E6" w:rsidRPr="00514C3A">
        <w:rPr>
          <w:sz w:val="20"/>
          <w:szCs w:val="20"/>
        </w:rPr>
        <w:t xml:space="preserve"> modules</w:t>
      </w:r>
    </w:p>
    <w:p w14:paraId="24E6989F" w14:textId="3677767E" w:rsidR="00E236F0" w:rsidRDefault="00E236F0" w:rsidP="00E236F0">
      <w:pPr>
        <w:rPr>
          <w:sz w:val="20"/>
          <w:szCs w:val="20"/>
        </w:rPr>
      </w:pPr>
      <w:r w:rsidRPr="00514C3A">
        <w:rPr>
          <w:b/>
          <w:sz w:val="20"/>
          <w:szCs w:val="20"/>
        </w:rPr>
        <w:t>Activity Fee:</w:t>
      </w:r>
      <w:r w:rsidRPr="00514C3A">
        <w:rPr>
          <w:sz w:val="20"/>
          <w:szCs w:val="20"/>
        </w:rPr>
        <w:t xml:space="preserve">  </w:t>
      </w:r>
      <w:r w:rsidRPr="00514C3A">
        <w:rPr>
          <w:b/>
          <w:sz w:val="20"/>
          <w:szCs w:val="20"/>
        </w:rPr>
        <w:t>$445.00/$545.00 member/non-member</w:t>
      </w:r>
    </w:p>
    <w:p w14:paraId="3E45DEF7" w14:textId="037C9A96" w:rsidR="00CE7F40" w:rsidRDefault="00CE7F40" w:rsidP="00601D9E">
      <w:pPr>
        <w:rPr>
          <w:sz w:val="20"/>
          <w:szCs w:val="20"/>
        </w:rPr>
      </w:pPr>
    </w:p>
    <w:p w14:paraId="198791BC" w14:textId="77777777" w:rsidR="00CE7F40" w:rsidRPr="00EF6AA4" w:rsidRDefault="00CE7F40" w:rsidP="00601D9E">
      <w:pPr>
        <w:rPr>
          <w:sz w:val="20"/>
          <w:szCs w:val="20"/>
        </w:rPr>
      </w:pPr>
    </w:p>
    <w:p w14:paraId="7AB70D34" w14:textId="35416EFF" w:rsidR="00773422" w:rsidRPr="00935DD9" w:rsidRDefault="007714B8" w:rsidP="00601D9E">
      <w:pPr>
        <w:pBdr>
          <w:bottom w:val="single" w:sz="6" w:space="1" w:color="auto"/>
        </w:pBdr>
        <w:rPr>
          <w:b/>
          <w:color w:val="000099"/>
          <w:sz w:val="24"/>
        </w:rPr>
      </w:pPr>
      <w:r w:rsidRPr="00514C3A">
        <w:rPr>
          <w:b/>
          <w:color w:val="000099"/>
          <w:sz w:val="24"/>
        </w:rPr>
        <w:t xml:space="preserve">Accreditation </w:t>
      </w:r>
      <w:r w:rsidR="005C132F" w:rsidRPr="00514C3A">
        <w:rPr>
          <w:b/>
          <w:color w:val="000099"/>
          <w:sz w:val="24"/>
        </w:rPr>
        <w:t xml:space="preserve">for Pharmacists </w:t>
      </w:r>
      <w:r w:rsidR="00514C3A" w:rsidRPr="00514C3A">
        <w:rPr>
          <w:b/>
          <w:color w:val="000099"/>
          <w:sz w:val="24"/>
        </w:rPr>
        <w:t>and Pharmacy Technicians</w:t>
      </w:r>
    </w:p>
    <w:p w14:paraId="5B826A8B" w14:textId="77777777" w:rsidR="00D40431" w:rsidRDefault="00D40431" w:rsidP="00601D9E">
      <w:pPr>
        <w:rPr>
          <w:sz w:val="20"/>
        </w:rPr>
      </w:pPr>
    </w:p>
    <w:p w14:paraId="353E2AA4" w14:textId="77777777" w:rsidR="00773422" w:rsidRDefault="00773422" w:rsidP="00601D9E">
      <w:pPr>
        <w:rPr>
          <w:sz w:val="18"/>
        </w:rPr>
      </w:pPr>
      <w:r w:rsidRPr="00CF62E9">
        <w:rPr>
          <w:noProof/>
          <w:sz w:val="20"/>
        </w:rPr>
        <w:drawing>
          <wp:anchor distT="0" distB="0" distL="114300" distR="114300" simplePos="0" relativeHeight="251661312" behindDoc="0" locked="0" layoutInCell="1" allowOverlap="1" wp14:anchorId="12FBB7FA" wp14:editId="5DCDA30C">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242F335C" w14:textId="77777777" w:rsidR="00251791" w:rsidRDefault="00251791" w:rsidP="00601D9E">
      <w:pPr>
        <w:rPr>
          <w:sz w:val="18"/>
        </w:rPr>
      </w:pPr>
    </w:p>
    <w:p w14:paraId="2CF6AEBF" w14:textId="0EF8D804" w:rsidR="007714B8" w:rsidRPr="00575F5F" w:rsidRDefault="007714B8" w:rsidP="00601D9E">
      <w:pPr>
        <w:rPr>
          <w:sz w:val="20"/>
          <w:szCs w:val="20"/>
        </w:rPr>
      </w:pPr>
    </w:p>
    <w:p w14:paraId="6F69E101" w14:textId="02B656C8"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16604EAC" w14:textId="7C287F82" w:rsidR="005733C0" w:rsidRPr="006161CA" w:rsidRDefault="006161CA" w:rsidP="00601D9E">
      <w:pPr>
        <w:rPr>
          <w:sz w:val="20"/>
          <w:szCs w:val="20"/>
        </w:rPr>
      </w:pPr>
      <w:r w:rsidRPr="00514C3A">
        <w:rPr>
          <w:sz w:val="20"/>
          <w:szCs w:val="20"/>
        </w:rPr>
        <w:t xml:space="preserve">This continuing pharmacy education activity is intended for pharmacists </w:t>
      </w:r>
      <w:r w:rsidR="00514C3A" w:rsidRPr="00514C3A">
        <w:rPr>
          <w:sz w:val="20"/>
          <w:szCs w:val="20"/>
        </w:rPr>
        <w:t xml:space="preserve">and pharmacy technicians </w:t>
      </w:r>
      <w:r w:rsidRPr="00514C3A">
        <w:rPr>
          <w:sz w:val="20"/>
          <w:szCs w:val="20"/>
        </w:rPr>
        <w:t>seeking to expand th</w:t>
      </w:r>
      <w:r w:rsidR="00514C3A" w:rsidRPr="00514C3A">
        <w:rPr>
          <w:sz w:val="20"/>
          <w:szCs w:val="20"/>
        </w:rPr>
        <w:t>eir knowledge and skills in take a “best possible” medication history.</w:t>
      </w:r>
      <w:r w:rsidR="00514C3A">
        <w:rPr>
          <w:sz w:val="20"/>
          <w:szCs w:val="20"/>
        </w:rPr>
        <w:t xml:space="preserve"> It is also intended for pharmacy technicians preparing for the Pharmacy Technician Certification Board (PTCB) exam.</w:t>
      </w:r>
    </w:p>
    <w:p w14:paraId="2E1606DF" w14:textId="77777777" w:rsidR="006161CA" w:rsidRPr="008406E5" w:rsidRDefault="006161C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74484F79" w14:textId="0300BC86" w:rsidR="005D5326" w:rsidRPr="005D5326" w:rsidRDefault="005D5326" w:rsidP="005D5326">
      <w:pPr>
        <w:rPr>
          <w:sz w:val="20"/>
          <w:szCs w:val="20"/>
        </w:rPr>
      </w:pPr>
      <w:r w:rsidRPr="00293C0C">
        <w:rPr>
          <w:sz w:val="20"/>
          <w:szCs w:val="20"/>
        </w:rPr>
        <w:t xml:space="preserve">This program provides focused education on the essential and </w:t>
      </w:r>
      <w:r w:rsidR="00737683" w:rsidRPr="00293C0C">
        <w:rPr>
          <w:sz w:val="20"/>
          <w:szCs w:val="20"/>
        </w:rPr>
        <w:t>diverse</w:t>
      </w:r>
      <w:r w:rsidRPr="00293C0C">
        <w:rPr>
          <w:sz w:val="20"/>
          <w:szCs w:val="20"/>
        </w:rPr>
        <w:t xml:space="preserve"> skills</w:t>
      </w:r>
      <w:r w:rsidR="00737683" w:rsidRPr="00293C0C">
        <w:rPr>
          <w:sz w:val="20"/>
          <w:szCs w:val="20"/>
        </w:rPr>
        <w:t xml:space="preserve"> required to</w:t>
      </w:r>
      <w:r w:rsidRPr="00293C0C">
        <w:rPr>
          <w:sz w:val="20"/>
          <w:szCs w:val="20"/>
        </w:rPr>
        <w:t xml:space="preserve"> </w:t>
      </w:r>
      <w:r w:rsidR="00737683" w:rsidRPr="00293C0C">
        <w:rPr>
          <w:sz w:val="20"/>
          <w:szCs w:val="20"/>
        </w:rPr>
        <w:t>take a medication history.</w:t>
      </w:r>
      <w:r w:rsidRPr="00293C0C">
        <w:rPr>
          <w:sz w:val="20"/>
          <w:szCs w:val="20"/>
        </w:rPr>
        <w:t xml:space="preserve"> These modules are designed for participants to increase their knowledge and skills in</w:t>
      </w:r>
      <w:r w:rsidR="00737683" w:rsidRPr="00293C0C">
        <w:rPr>
          <w:sz w:val="20"/>
          <w:szCs w:val="20"/>
        </w:rPr>
        <w:t xml:space="preserve"> conducting the “best possible” medication history, customizing and implementing a medication history-taking program for their institution and adhering to legal requirements. </w:t>
      </w:r>
      <w:r w:rsidRPr="00293C0C">
        <w:rPr>
          <w:sz w:val="20"/>
          <w:szCs w:val="20"/>
        </w:rPr>
        <w:t>Upon completion of all the modules, participants should be proficient in</w:t>
      </w:r>
      <w:r w:rsidR="00737683" w:rsidRPr="00293C0C">
        <w:rPr>
          <w:sz w:val="20"/>
          <w:szCs w:val="20"/>
        </w:rPr>
        <w:t xml:space="preserve"> conducting a medication history, knowledgeable about how to start and implement a medication history-taking program for their institution and prepared to take the Pharmacy Technician Certification Board (PTCB) examination.</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0C0738" w:rsidRPr="00403CAF" w14:paraId="4012F6B6"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410F2081" w14:textId="349B7224" w:rsidR="000C0738" w:rsidRPr="00A27BA5" w:rsidRDefault="000C0738" w:rsidP="00601D9E">
            <w:pPr>
              <w:rPr>
                <w:rFonts w:cstheme="minorHAnsi"/>
                <w:b w:val="0"/>
                <w:sz w:val="20"/>
                <w:szCs w:val="20"/>
              </w:rPr>
            </w:pPr>
            <w:r w:rsidRPr="00A27BA5">
              <w:rPr>
                <w:rFonts w:cstheme="minorHAnsi"/>
                <w:sz w:val="20"/>
                <w:szCs w:val="20"/>
              </w:rPr>
              <w:t>ACPE #:</w:t>
            </w:r>
          </w:p>
          <w:p w14:paraId="0AF84808" w14:textId="77777777" w:rsidR="00A27BA5" w:rsidRPr="00A27BA5" w:rsidRDefault="00A27BA5" w:rsidP="00A27BA5">
            <w:pPr>
              <w:rPr>
                <w:rFonts w:cstheme="minorHAnsi"/>
                <w:sz w:val="20"/>
                <w:szCs w:val="20"/>
              </w:rPr>
            </w:pPr>
            <w:r w:rsidRPr="00A27BA5">
              <w:rPr>
                <w:rFonts w:cstheme="minorHAnsi"/>
                <w:sz w:val="20"/>
                <w:szCs w:val="20"/>
              </w:rPr>
              <w:t xml:space="preserve">0204-0000-20-722-H04-P and T </w:t>
            </w:r>
          </w:p>
          <w:p w14:paraId="49CDA418" w14:textId="77777777" w:rsidR="005D5326" w:rsidRPr="00A27BA5" w:rsidRDefault="005D5326" w:rsidP="00601D9E">
            <w:pPr>
              <w:rPr>
                <w:rFonts w:cstheme="minorHAnsi"/>
                <w:b w:val="0"/>
                <w:sz w:val="20"/>
                <w:szCs w:val="20"/>
              </w:rPr>
            </w:pPr>
          </w:p>
          <w:p w14:paraId="684C7C43" w14:textId="05402D6E" w:rsidR="000C0738" w:rsidRPr="00A27BA5" w:rsidRDefault="000C0738" w:rsidP="00601D9E">
            <w:pPr>
              <w:rPr>
                <w:rFonts w:cstheme="minorHAnsi"/>
                <w:sz w:val="20"/>
                <w:szCs w:val="20"/>
              </w:rPr>
            </w:pPr>
            <w:r w:rsidRPr="00A27BA5">
              <w:rPr>
                <w:rFonts w:cstheme="minorHAnsi"/>
                <w:sz w:val="20"/>
                <w:szCs w:val="20"/>
              </w:rPr>
              <w:t xml:space="preserve">CE Hours: </w:t>
            </w:r>
            <w:r w:rsidR="007B775B" w:rsidRPr="00A27BA5">
              <w:rPr>
                <w:rFonts w:cstheme="minorHAnsi"/>
                <w:noProof/>
                <w:sz w:val="20"/>
                <w:szCs w:val="20"/>
              </w:rPr>
              <w:t>2</w:t>
            </w:r>
            <w:r w:rsidR="00727C5A" w:rsidRPr="00A27BA5">
              <w:rPr>
                <w:rFonts w:cstheme="minorHAnsi"/>
                <w:noProof/>
                <w:sz w:val="20"/>
                <w:szCs w:val="20"/>
              </w:rPr>
              <w:t>.5</w:t>
            </w:r>
          </w:p>
          <w:p w14:paraId="59480023" w14:textId="77777777" w:rsidR="000C0738" w:rsidRPr="00A27BA5" w:rsidRDefault="000C0738" w:rsidP="00601D9E">
            <w:pPr>
              <w:rPr>
                <w:rFonts w:cstheme="minorHAnsi"/>
                <w:sz w:val="20"/>
                <w:szCs w:val="20"/>
              </w:rPr>
            </w:pPr>
          </w:p>
          <w:p w14:paraId="3A3A2AD6" w14:textId="63167DFC" w:rsidR="000C0738" w:rsidRPr="00A27BA5" w:rsidRDefault="000C0738" w:rsidP="00601D9E">
            <w:pPr>
              <w:rPr>
                <w:rFonts w:cstheme="minorHAnsi"/>
                <w:sz w:val="20"/>
                <w:szCs w:val="20"/>
              </w:rPr>
            </w:pPr>
            <w:r w:rsidRPr="00A27BA5">
              <w:rPr>
                <w:rFonts w:cstheme="minorHAnsi"/>
                <w:sz w:val="20"/>
                <w:szCs w:val="20"/>
              </w:rPr>
              <w:t xml:space="preserve">Activity Type: </w:t>
            </w:r>
            <w:r w:rsidR="00727C5A" w:rsidRPr="00A27BA5">
              <w:rPr>
                <w:rFonts w:cstheme="minorHAnsi"/>
                <w:noProof/>
                <w:sz w:val="20"/>
                <w:szCs w:val="20"/>
              </w:rPr>
              <w:t>Knowledge</w:t>
            </w:r>
            <w:r w:rsidR="007C0230" w:rsidRPr="00A27BA5">
              <w:rPr>
                <w:rFonts w:cstheme="minorHAnsi"/>
                <w:noProof/>
                <w:sz w:val="20"/>
                <w:szCs w:val="20"/>
              </w:rPr>
              <w:t>-based</w:t>
            </w:r>
          </w:p>
          <w:p w14:paraId="0FD73402" w14:textId="77777777" w:rsidR="000C0738" w:rsidRPr="00A27BA5" w:rsidRDefault="000C0738" w:rsidP="00601D9E">
            <w:pPr>
              <w:rPr>
                <w:rFonts w:cstheme="minorHAnsi"/>
                <w:sz w:val="20"/>
                <w:szCs w:val="20"/>
              </w:rPr>
            </w:pPr>
          </w:p>
          <w:p w14:paraId="648A31B3" w14:textId="12623CF8" w:rsidR="00465BAD" w:rsidRPr="00A27BA5" w:rsidRDefault="00465BAD" w:rsidP="000334A2">
            <w:pPr>
              <w:rPr>
                <w:rFonts w:cstheme="minorHAnsi"/>
                <w:sz w:val="20"/>
                <w:szCs w:val="20"/>
              </w:rPr>
            </w:pPr>
          </w:p>
        </w:tc>
        <w:tc>
          <w:tcPr>
            <w:tcW w:w="5146" w:type="dxa"/>
          </w:tcPr>
          <w:p w14:paraId="24A197B1" w14:textId="0413BFBE" w:rsidR="000C0738" w:rsidRPr="00727C5A" w:rsidRDefault="000C0738"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727C5A">
              <w:rPr>
                <w:rFonts w:ascii="Calibri" w:hAnsi="Calibri"/>
                <w:b/>
                <w:sz w:val="20"/>
                <w:szCs w:val="20"/>
              </w:rPr>
              <w:t xml:space="preserve">Title: </w:t>
            </w:r>
            <w:r w:rsidR="00727C5A" w:rsidRPr="00727C5A">
              <w:rPr>
                <w:rFonts w:ascii="Calibri" w:hAnsi="Calibri"/>
                <w:b/>
                <w:noProof/>
                <w:sz w:val="20"/>
                <w:szCs w:val="20"/>
              </w:rPr>
              <w:t>The Role of Medication History-Taking</w:t>
            </w:r>
          </w:p>
          <w:p w14:paraId="5118F9E3" w14:textId="77777777" w:rsidR="007C0230" w:rsidRPr="00727C5A" w:rsidRDefault="007C0230" w:rsidP="00601D9E">
            <w:pPr>
              <w:cnfStyle w:val="000000100000" w:firstRow="0" w:lastRow="0" w:firstColumn="0" w:lastColumn="0" w:oddVBand="0" w:evenVBand="0" w:oddHBand="1" w:evenHBand="0" w:firstRowFirstColumn="0" w:firstRowLastColumn="0" w:lastRowFirstColumn="0" w:lastRowLastColumn="0"/>
              <w:rPr>
                <w:rFonts w:ascii="Calibri" w:eastAsia="Calibri" w:hAnsi="Calibri"/>
                <w:noProof/>
                <w:sz w:val="20"/>
                <w:szCs w:val="20"/>
              </w:rPr>
            </w:pPr>
          </w:p>
          <w:p w14:paraId="39B3D07B" w14:textId="77777777" w:rsidR="00B30D9C" w:rsidRPr="00727C5A" w:rsidRDefault="00B30D9C" w:rsidP="00B30D9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727C5A">
              <w:rPr>
                <w:rFonts w:ascii="Calibri" w:hAnsi="Calibri"/>
                <w:sz w:val="20"/>
                <w:szCs w:val="20"/>
              </w:rPr>
              <w:t xml:space="preserve">Faculty: </w:t>
            </w:r>
          </w:p>
          <w:p w14:paraId="14E31341" w14:textId="77777777" w:rsidR="00727C5A" w:rsidRPr="00727C5A" w:rsidRDefault="00727C5A" w:rsidP="00727C5A">
            <w:pPr>
              <w:pStyle w:val="ListParagraph"/>
              <w:numPr>
                <w:ilvl w:val="0"/>
                <w:numId w:val="9"/>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727C5A">
              <w:rPr>
                <w:rFonts w:ascii="Calibri" w:eastAsia="Calibri" w:hAnsi="Calibri"/>
                <w:b/>
                <w:iCs/>
                <w:spacing w:val="-1"/>
                <w:sz w:val="20"/>
                <w:szCs w:val="20"/>
              </w:rPr>
              <w:t>Jeffrey L. Schnipper, M.D., MPH, FHM</w:t>
            </w:r>
          </w:p>
          <w:p w14:paraId="3E8FD134" w14:textId="333292FB"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eastAsia="Calibri" w:hAnsi="Calibri"/>
                <w:b/>
                <w:noProof/>
                <w:sz w:val="20"/>
                <w:szCs w:val="20"/>
              </w:rPr>
            </w:pPr>
            <w:r w:rsidRPr="00727C5A">
              <w:rPr>
                <w:rFonts w:ascii="Calibri" w:eastAsia="Calibri" w:hAnsi="Calibri"/>
                <w:b/>
                <w:iCs/>
                <w:noProof/>
                <w:sz w:val="20"/>
                <w:szCs w:val="20"/>
              </w:rPr>
              <w:t xml:space="preserve">Amanda S. Mixon, M.D., M.S., MSPH, FHM </w:t>
            </w:r>
          </w:p>
          <w:p w14:paraId="05AA9578" w14:textId="77777777" w:rsidR="00727C5A" w:rsidRPr="00727C5A" w:rsidRDefault="00727C5A" w:rsidP="00727C5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727C5A">
              <w:rPr>
                <w:rFonts w:ascii="Calibri" w:hAnsi="Calibri" w:cs="Calibri"/>
                <w:sz w:val="20"/>
                <w:szCs w:val="20"/>
              </w:rPr>
              <w:t>This activity identifies key terminology needed for taking a medication history, its importance to patient care, and some of the most commonly used medications.</w:t>
            </w:r>
          </w:p>
          <w:p w14:paraId="754E2080" w14:textId="77777777" w:rsidR="007B775B" w:rsidRPr="00727C5A" w:rsidRDefault="007B775B"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8FFF3CD" w14:textId="77777777" w:rsidR="000C0738" w:rsidRPr="00727C5A" w:rsidRDefault="000C0738"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727C5A">
              <w:rPr>
                <w:rFonts w:ascii="Calibri" w:hAnsi="Calibri"/>
                <w:b/>
                <w:sz w:val="20"/>
                <w:szCs w:val="20"/>
              </w:rPr>
              <w:t>Learning Objectives:</w:t>
            </w:r>
          </w:p>
          <w:p w14:paraId="075F8A9C"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Recognize the risks and consequences of errors in medication history-taking</w:t>
            </w:r>
          </w:p>
          <w:p w14:paraId="77554727"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lastRenderedPageBreak/>
              <w:t>Describe the results of past studies demonstrating the benefits of accurate medication history-taking</w:t>
            </w:r>
          </w:p>
          <w:p w14:paraId="1D97A41F"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Summarize the barriers to accurate medication history-taking</w:t>
            </w:r>
          </w:p>
          <w:p w14:paraId="5D8003F7"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Define key terms in the medication history process</w:t>
            </w:r>
          </w:p>
          <w:p w14:paraId="1324F83E"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Differentiate between patient-friendly terms and medical terminology</w:t>
            </w:r>
          </w:p>
          <w:p w14:paraId="0C543061"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 xml:space="preserve">Discuss the importance of medication adherence </w:t>
            </w:r>
          </w:p>
          <w:p w14:paraId="14D0A227"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Identify metrics for measuring medication adherence</w:t>
            </w:r>
          </w:p>
          <w:p w14:paraId="22E96C64"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Discuss common vaccinations and schedules</w:t>
            </w:r>
          </w:p>
          <w:p w14:paraId="6FEFF0F9"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Identify common diagnoses, medication classes, and the specific medications used to treat them</w:t>
            </w:r>
          </w:p>
          <w:p w14:paraId="62FC6695"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Prepare probing questions to use for medication classes when taking medication histories</w:t>
            </w:r>
          </w:p>
          <w:p w14:paraId="07F85227" w14:textId="77777777" w:rsidR="00727C5A"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727C5A">
              <w:rPr>
                <w:sz w:val="20"/>
                <w:szCs w:val="20"/>
              </w:rPr>
              <w:t>Identify common diagnoses, medication classes, and the specific medications used to treat them</w:t>
            </w:r>
          </w:p>
          <w:p w14:paraId="29306156" w14:textId="56BC5718" w:rsidR="005C7F42" w:rsidRPr="00727C5A" w:rsidRDefault="00727C5A" w:rsidP="00727C5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727C5A">
              <w:rPr>
                <w:sz w:val="20"/>
                <w:szCs w:val="20"/>
              </w:rPr>
              <w:t>Prepare probing questions to use for medication classes when taking medication histories</w:t>
            </w:r>
          </w:p>
        </w:tc>
      </w:tr>
      <w:tr w:rsidR="00B30D9C" w:rsidRPr="00403CAF" w14:paraId="3650D68E" w14:textId="77777777" w:rsidTr="00DC08E6">
        <w:tc>
          <w:tcPr>
            <w:cnfStyle w:val="001000000000" w:firstRow="0" w:lastRow="0" w:firstColumn="1" w:lastColumn="0" w:oddVBand="0" w:evenVBand="0" w:oddHBand="0" w:evenHBand="0" w:firstRowFirstColumn="0" w:firstRowLastColumn="0" w:lastRowFirstColumn="0" w:lastRowLastColumn="0"/>
            <w:tcW w:w="4204" w:type="dxa"/>
          </w:tcPr>
          <w:p w14:paraId="0A7DBB1A" w14:textId="48D15A1D" w:rsidR="00B30D9C" w:rsidRPr="00A27BA5" w:rsidRDefault="00B30D9C" w:rsidP="00601D9E">
            <w:pPr>
              <w:rPr>
                <w:rFonts w:cstheme="minorHAnsi"/>
                <w:b w:val="0"/>
                <w:sz w:val="20"/>
                <w:szCs w:val="20"/>
              </w:rPr>
            </w:pPr>
            <w:r w:rsidRPr="00A27BA5">
              <w:rPr>
                <w:rFonts w:cstheme="minorHAnsi"/>
                <w:sz w:val="20"/>
                <w:szCs w:val="20"/>
              </w:rPr>
              <w:lastRenderedPageBreak/>
              <w:t>ACPE #:</w:t>
            </w:r>
          </w:p>
          <w:p w14:paraId="2898A555" w14:textId="77777777" w:rsidR="00A27BA5" w:rsidRPr="00A27BA5" w:rsidRDefault="00A27BA5" w:rsidP="00A27BA5">
            <w:pPr>
              <w:rPr>
                <w:rFonts w:cstheme="minorHAnsi"/>
                <w:sz w:val="20"/>
                <w:szCs w:val="20"/>
              </w:rPr>
            </w:pPr>
            <w:r w:rsidRPr="00A27BA5">
              <w:rPr>
                <w:rFonts w:cstheme="minorHAnsi"/>
                <w:sz w:val="20"/>
                <w:szCs w:val="20"/>
              </w:rPr>
              <w:t xml:space="preserve">0204-0000-20-723-H05-P and T </w:t>
            </w:r>
          </w:p>
          <w:p w14:paraId="09650C5D" w14:textId="77777777" w:rsidR="005D5326" w:rsidRPr="00A27BA5" w:rsidRDefault="005D5326" w:rsidP="00601D9E">
            <w:pPr>
              <w:rPr>
                <w:rFonts w:cstheme="minorHAnsi"/>
                <w:sz w:val="20"/>
                <w:szCs w:val="20"/>
              </w:rPr>
            </w:pPr>
          </w:p>
          <w:p w14:paraId="5423B171" w14:textId="3E97E799" w:rsidR="00B30D9C" w:rsidRPr="00A27BA5" w:rsidRDefault="00B30D9C" w:rsidP="00601D9E">
            <w:pPr>
              <w:rPr>
                <w:rFonts w:cstheme="minorHAnsi"/>
                <w:sz w:val="20"/>
                <w:szCs w:val="20"/>
              </w:rPr>
            </w:pPr>
            <w:r w:rsidRPr="00A27BA5">
              <w:rPr>
                <w:rFonts w:cstheme="minorHAnsi"/>
                <w:sz w:val="20"/>
                <w:szCs w:val="20"/>
              </w:rPr>
              <w:t xml:space="preserve">CE Hours: </w:t>
            </w:r>
            <w:r w:rsidR="00727C5A" w:rsidRPr="00A27BA5">
              <w:rPr>
                <w:rFonts w:cstheme="minorHAnsi"/>
                <w:sz w:val="20"/>
                <w:szCs w:val="20"/>
              </w:rPr>
              <w:t>2.75</w:t>
            </w:r>
          </w:p>
          <w:p w14:paraId="785B11C4" w14:textId="77777777" w:rsidR="00B30D9C" w:rsidRPr="00A27BA5" w:rsidRDefault="00B30D9C" w:rsidP="00601D9E">
            <w:pPr>
              <w:rPr>
                <w:rFonts w:cstheme="minorHAnsi"/>
                <w:sz w:val="20"/>
                <w:szCs w:val="20"/>
              </w:rPr>
            </w:pPr>
          </w:p>
          <w:p w14:paraId="58C5849D" w14:textId="77777777" w:rsidR="00B30D9C" w:rsidRPr="00A27BA5" w:rsidRDefault="00B30D9C" w:rsidP="00601D9E">
            <w:pPr>
              <w:rPr>
                <w:rFonts w:cstheme="minorHAnsi"/>
                <w:sz w:val="20"/>
                <w:szCs w:val="20"/>
              </w:rPr>
            </w:pPr>
            <w:r w:rsidRPr="00A27BA5">
              <w:rPr>
                <w:rFonts w:cstheme="minorHAnsi"/>
                <w:sz w:val="20"/>
                <w:szCs w:val="20"/>
              </w:rPr>
              <w:t xml:space="preserve">Activity Type: </w:t>
            </w:r>
            <w:r w:rsidRPr="00A27BA5">
              <w:rPr>
                <w:rFonts w:cstheme="minorHAnsi"/>
                <w:noProof/>
                <w:sz w:val="20"/>
                <w:szCs w:val="20"/>
              </w:rPr>
              <w:t>Application-based</w:t>
            </w:r>
          </w:p>
          <w:p w14:paraId="2C7D50FB" w14:textId="77777777" w:rsidR="00B30D9C" w:rsidRPr="00A27BA5" w:rsidRDefault="00B30D9C" w:rsidP="00601D9E">
            <w:pPr>
              <w:rPr>
                <w:rFonts w:cstheme="minorHAnsi"/>
                <w:sz w:val="20"/>
                <w:szCs w:val="20"/>
              </w:rPr>
            </w:pPr>
          </w:p>
          <w:p w14:paraId="08F69A60" w14:textId="7CD99A7F" w:rsidR="00B30D9C" w:rsidRPr="00A27BA5" w:rsidRDefault="00B30D9C" w:rsidP="00601D9E">
            <w:pPr>
              <w:rPr>
                <w:rFonts w:cstheme="minorHAnsi"/>
                <w:sz w:val="20"/>
                <w:szCs w:val="20"/>
              </w:rPr>
            </w:pPr>
          </w:p>
        </w:tc>
        <w:tc>
          <w:tcPr>
            <w:tcW w:w="5146" w:type="dxa"/>
          </w:tcPr>
          <w:p w14:paraId="18B80E70" w14:textId="0CD50AC3" w:rsidR="00B30D9C" w:rsidRPr="00727C5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727C5A">
              <w:rPr>
                <w:rFonts w:ascii="Calibri" w:hAnsi="Calibri"/>
                <w:b/>
                <w:sz w:val="20"/>
                <w:szCs w:val="20"/>
              </w:rPr>
              <w:t>Title:</w:t>
            </w:r>
            <w:r w:rsidRPr="00727C5A">
              <w:rPr>
                <w:rFonts w:ascii="Calibri" w:hAnsi="Calibri"/>
                <w:sz w:val="20"/>
                <w:szCs w:val="20"/>
              </w:rPr>
              <w:t xml:space="preserve"> </w:t>
            </w:r>
            <w:r w:rsidR="00727C5A" w:rsidRPr="00727C5A">
              <w:rPr>
                <w:rFonts w:ascii="Calibri" w:hAnsi="Calibri"/>
                <w:b/>
                <w:noProof/>
                <w:sz w:val="20"/>
                <w:szCs w:val="20"/>
              </w:rPr>
              <w:t>Patient Safety and Quality Assurance</w:t>
            </w:r>
          </w:p>
          <w:p w14:paraId="680E996E" w14:textId="77777777" w:rsidR="00B30D9C" w:rsidRPr="00727C5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320FA63" w14:textId="77777777" w:rsidR="00B30D9C" w:rsidRPr="00727C5A" w:rsidRDefault="00B30D9C" w:rsidP="00601D9E">
            <w:pPr>
              <w:cnfStyle w:val="000000000000" w:firstRow="0" w:lastRow="0" w:firstColumn="0" w:lastColumn="0" w:oddVBand="0" w:evenVBand="0" w:oddHBand="0" w:evenHBand="0" w:firstRowFirstColumn="0" w:firstRowLastColumn="0" w:lastRowFirstColumn="0" w:lastRowLastColumn="0"/>
              <w:rPr>
                <w:rFonts w:ascii="Calibri" w:eastAsia="Calibri" w:hAnsi="Calibri"/>
                <w:noProof/>
                <w:sz w:val="20"/>
                <w:szCs w:val="20"/>
              </w:rPr>
            </w:pPr>
            <w:r w:rsidRPr="00727C5A">
              <w:rPr>
                <w:rFonts w:ascii="Calibri" w:eastAsia="Calibri" w:hAnsi="Calibri"/>
                <w:noProof/>
                <w:sz w:val="20"/>
                <w:szCs w:val="20"/>
              </w:rPr>
              <w:t xml:space="preserve">Faculty: </w:t>
            </w:r>
          </w:p>
          <w:p w14:paraId="64ECA998" w14:textId="77777777" w:rsidR="00727C5A" w:rsidRPr="00727C5A" w:rsidRDefault="00727C5A" w:rsidP="00727C5A">
            <w:pPr>
              <w:pStyle w:val="ListParagraph"/>
              <w:numPr>
                <w:ilvl w:val="0"/>
                <w:numId w:val="9"/>
              </w:numPr>
              <w:spacing w:before="7"/>
              <w:cnfStyle w:val="000000000000" w:firstRow="0" w:lastRow="0" w:firstColumn="0" w:lastColumn="0" w:oddVBand="0" w:evenVBand="0" w:oddHBand="0" w:evenHBand="0" w:firstRowFirstColumn="0" w:firstRowLastColumn="0" w:lastRowFirstColumn="0" w:lastRowLastColumn="0"/>
              <w:rPr>
                <w:rFonts w:ascii="Calibri" w:eastAsia="Calibri" w:hAnsi="Calibri"/>
                <w:b/>
                <w:spacing w:val="-1"/>
                <w:sz w:val="20"/>
                <w:szCs w:val="20"/>
              </w:rPr>
            </w:pPr>
            <w:r w:rsidRPr="00727C5A">
              <w:rPr>
                <w:rFonts w:ascii="Calibri" w:eastAsia="Calibri" w:hAnsi="Calibri"/>
                <w:b/>
                <w:iCs/>
                <w:spacing w:val="-1"/>
                <w:sz w:val="20"/>
                <w:szCs w:val="20"/>
              </w:rPr>
              <w:t>Jeffrey L. Schnipper, M.D., MPH, FHM</w:t>
            </w:r>
          </w:p>
          <w:p w14:paraId="302B724D" w14:textId="46546718" w:rsidR="00860EE8" w:rsidRPr="00727C5A" w:rsidRDefault="00727C5A" w:rsidP="00727C5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eastAsia="Calibri" w:hAnsi="Calibri"/>
                <w:b/>
                <w:noProof/>
                <w:sz w:val="20"/>
                <w:szCs w:val="20"/>
              </w:rPr>
            </w:pPr>
            <w:r w:rsidRPr="00727C5A">
              <w:rPr>
                <w:rFonts w:ascii="Calibri" w:eastAsia="Calibri" w:hAnsi="Calibri"/>
                <w:b/>
                <w:iCs/>
                <w:noProof/>
                <w:sz w:val="20"/>
                <w:szCs w:val="20"/>
              </w:rPr>
              <w:t xml:space="preserve">Amanda S. Mixon, M.D., M.S., MSPH, FHM </w:t>
            </w:r>
          </w:p>
          <w:p w14:paraId="50B7CD21" w14:textId="3E313930" w:rsidR="0007163A" w:rsidRPr="0007163A" w:rsidRDefault="0007163A" w:rsidP="0007163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63A">
              <w:rPr>
                <w:rFonts w:ascii="Calibri" w:hAnsi="Calibri" w:cs="Calibri"/>
                <w:sz w:val="20"/>
                <w:szCs w:val="20"/>
              </w:rPr>
              <w:t>This activity discusses aspects of patient safety related to medication history taking, as well as quality assurance strategies</w:t>
            </w:r>
            <w:r>
              <w:rPr>
                <w:rFonts w:ascii="Calibri" w:hAnsi="Calibri" w:cs="Calibri"/>
                <w:sz w:val="20"/>
                <w:szCs w:val="20"/>
              </w:rPr>
              <w:t>.</w:t>
            </w:r>
          </w:p>
          <w:p w14:paraId="214AEBBB" w14:textId="77777777" w:rsidR="007B775B" w:rsidRPr="001C6D8E" w:rsidRDefault="007B775B"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highlight w:val="yellow"/>
              </w:rPr>
            </w:pPr>
          </w:p>
          <w:p w14:paraId="24F98718" w14:textId="77777777" w:rsidR="00B30D9C" w:rsidRPr="0007163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07163A">
              <w:rPr>
                <w:rFonts w:ascii="Calibri" w:hAnsi="Calibri"/>
                <w:b/>
                <w:sz w:val="20"/>
                <w:szCs w:val="20"/>
              </w:rPr>
              <w:t>Learning Objectives:</w:t>
            </w:r>
          </w:p>
          <w:p w14:paraId="528EFA04" w14:textId="77777777" w:rsidR="00727C5A" w:rsidRPr="00727C5A" w:rsidRDefault="00727C5A" w:rsidP="00727C5A">
            <w:pPr>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727C5A">
              <w:rPr>
                <w:sz w:val="20"/>
                <w:szCs w:val="20"/>
              </w:rPr>
              <w:t xml:space="preserve">Compare types of medication errors and their potential impact </w:t>
            </w:r>
          </w:p>
          <w:p w14:paraId="521A5447" w14:textId="77777777" w:rsidR="00727C5A" w:rsidRPr="00727C5A" w:rsidRDefault="00727C5A" w:rsidP="00727C5A">
            <w:pPr>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727C5A">
              <w:rPr>
                <w:sz w:val="20"/>
                <w:szCs w:val="20"/>
              </w:rPr>
              <w:t>Summarize patient factors that influence the ability to report medication information accurately and adhere to prescribed dosing schedules</w:t>
            </w:r>
          </w:p>
          <w:p w14:paraId="5720060D" w14:textId="77777777" w:rsidR="00727C5A" w:rsidRPr="00727C5A" w:rsidRDefault="00727C5A" w:rsidP="00727C5A">
            <w:pPr>
              <w:numPr>
                <w:ilvl w:val="0"/>
                <w:numId w:val="9"/>
              </w:numPr>
              <w:cnfStyle w:val="000000000000" w:firstRow="0" w:lastRow="0" w:firstColumn="0" w:lastColumn="0" w:oddVBand="0" w:evenVBand="0" w:oddHBand="0" w:evenHBand="0" w:firstRowFirstColumn="0" w:firstRowLastColumn="0" w:lastRowFirstColumn="0" w:lastRowLastColumn="0"/>
              <w:rPr>
                <w:sz w:val="20"/>
                <w:szCs w:val="20"/>
              </w:rPr>
            </w:pPr>
            <w:r w:rsidRPr="00727C5A">
              <w:rPr>
                <w:sz w:val="20"/>
                <w:szCs w:val="20"/>
              </w:rPr>
              <w:t xml:space="preserve">Explain techniques and devices to assist with safety and consistent home medication use </w:t>
            </w:r>
          </w:p>
          <w:p w14:paraId="1D99F4CB" w14:textId="7F2892A7" w:rsidR="00B30D9C" w:rsidRPr="00727C5A" w:rsidRDefault="00B30D9C" w:rsidP="00727C5A">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highlight w:val="yellow"/>
              </w:rPr>
            </w:pPr>
          </w:p>
        </w:tc>
      </w:tr>
      <w:tr w:rsidR="00B30D9C" w:rsidRPr="00403CAF" w14:paraId="41E96AD4"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4EF7F9AC" w14:textId="0B9D9C37" w:rsidR="00B30D9C" w:rsidRPr="00A27BA5" w:rsidRDefault="00B30D9C" w:rsidP="00601D9E">
            <w:pPr>
              <w:rPr>
                <w:rFonts w:cstheme="minorHAnsi"/>
                <w:b w:val="0"/>
                <w:sz w:val="20"/>
                <w:szCs w:val="20"/>
              </w:rPr>
            </w:pPr>
            <w:r w:rsidRPr="00A27BA5">
              <w:rPr>
                <w:rFonts w:cstheme="minorHAnsi"/>
                <w:sz w:val="20"/>
                <w:szCs w:val="20"/>
              </w:rPr>
              <w:t xml:space="preserve">ACPE #: </w:t>
            </w:r>
          </w:p>
          <w:p w14:paraId="424258DE" w14:textId="77777777" w:rsidR="00A27BA5" w:rsidRPr="00A27BA5" w:rsidRDefault="00A27BA5" w:rsidP="00A27BA5">
            <w:pPr>
              <w:rPr>
                <w:rFonts w:cstheme="minorHAnsi"/>
                <w:sz w:val="20"/>
                <w:szCs w:val="20"/>
              </w:rPr>
            </w:pPr>
            <w:r w:rsidRPr="00A27BA5">
              <w:rPr>
                <w:rFonts w:cstheme="minorHAnsi"/>
                <w:sz w:val="20"/>
                <w:szCs w:val="20"/>
              </w:rPr>
              <w:t xml:space="preserve">0204-0000-20-724-H04-P and T </w:t>
            </w:r>
          </w:p>
          <w:p w14:paraId="686CFEB7" w14:textId="77777777" w:rsidR="005D5326" w:rsidRPr="00A27BA5" w:rsidRDefault="005D5326" w:rsidP="00601D9E">
            <w:pPr>
              <w:rPr>
                <w:rFonts w:cstheme="minorHAnsi"/>
                <w:sz w:val="20"/>
                <w:szCs w:val="20"/>
              </w:rPr>
            </w:pPr>
          </w:p>
          <w:p w14:paraId="7FD66782" w14:textId="474035E6" w:rsidR="00B30D9C" w:rsidRPr="00A27BA5" w:rsidRDefault="00B30D9C" w:rsidP="00601D9E">
            <w:pPr>
              <w:rPr>
                <w:rFonts w:cstheme="minorHAnsi"/>
                <w:sz w:val="20"/>
                <w:szCs w:val="20"/>
              </w:rPr>
            </w:pPr>
            <w:r w:rsidRPr="00A27BA5">
              <w:rPr>
                <w:rFonts w:cstheme="minorHAnsi"/>
                <w:sz w:val="20"/>
                <w:szCs w:val="20"/>
              </w:rPr>
              <w:t xml:space="preserve">CE Hours: </w:t>
            </w:r>
            <w:r w:rsidR="007B775B" w:rsidRPr="00A27BA5">
              <w:rPr>
                <w:rFonts w:cstheme="minorHAnsi"/>
                <w:noProof/>
                <w:sz w:val="20"/>
                <w:szCs w:val="20"/>
              </w:rPr>
              <w:t>2</w:t>
            </w:r>
            <w:r w:rsidR="0007163A" w:rsidRPr="00A27BA5">
              <w:rPr>
                <w:rFonts w:cstheme="minorHAnsi"/>
                <w:noProof/>
                <w:sz w:val="20"/>
                <w:szCs w:val="20"/>
              </w:rPr>
              <w:t>.5</w:t>
            </w:r>
          </w:p>
          <w:p w14:paraId="5F4DE321" w14:textId="77777777" w:rsidR="00B30D9C" w:rsidRPr="00A27BA5" w:rsidRDefault="00B30D9C" w:rsidP="00601D9E">
            <w:pPr>
              <w:rPr>
                <w:rFonts w:cstheme="minorHAnsi"/>
                <w:sz w:val="20"/>
                <w:szCs w:val="20"/>
              </w:rPr>
            </w:pPr>
          </w:p>
          <w:p w14:paraId="4A0F6166" w14:textId="77777777" w:rsidR="00B30D9C" w:rsidRPr="00A27BA5" w:rsidRDefault="00B30D9C" w:rsidP="00601D9E">
            <w:pPr>
              <w:rPr>
                <w:rFonts w:cstheme="minorHAnsi"/>
                <w:sz w:val="20"/>
                <w:szCs w:val="20"/>
              </w:rPr>
            </w:pPr>
            <w:r w:rsidRPr="00A27BA5">
              <w:rPr>
                <w:rFonts w:cstheme="minorHAnsi"/>
                <w:sz w:val="20"/>
                <w:szCs w:val="20"/>
              </w:rPr>
              <w:t xml:space="preserve">Activity Type: </w:t>
            </w:r>
            <w:r w:rsidRPr="00A27BA5">
              <w:rPr>
                <w:rFonts w:cstheme="minorHAnsi"/>
                <w:noProof/>
                <w:sz w:val="20"/>
                <w:szCs w:val="20"/>
              </w:rPr>
              <w:t>Application-based</w:t>
            </w:r>
          </w:p>
          <w:p w14:paraId="4B185BEC" w14:textId="77777777" w:rsidR="00B30D9C" w:rsidRPr="00A27BA5" w:rsidRDefault="00B30D9C" w:rsidP="00601D9E">
            <w:pPr>
              <w:rPr>
                <w:rFonts w:cstheme="minorHAnsi"/>
                <w:sz w:val="20"/>
                <w:szCs w:val="20"/>
              </w:rPr>
            </w:pPr>
          </w:p>
          <w:p w14:paraId="5C8C162D" w14:textId="28DD4719" w:rsidR="00B30D9C" w:rsidRPr="00A27BA5" w:rsidRDefault="00B30D9C" w:rsidP="008D02AA">
            <w:pPr>
              <w:rPr>
                <w:rFonts w:cstheme="minorHAnsi"/>
                <w:sz w:val="20"/>
                <w:szCs w:val="20"/>
              </w:rPr>
            </w:pPr>
          </w:p>
        </w:tc>
        <w:tc>
          <w:tcPr>
            <w:tcW w:w="5146" w:type="dxa"/>
          </w:tcPr>
          <w:p w14:paraId="7B0AFC77" w14:textId="3888F5CE"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7163A">
              <w:rPr>
                <w:rFonts w:ascii="Calibri" w:hAnsi="Calibri"/>
                <w:b/>
                <w:sz w:val="20"/>
                <w:szCs w:val="20"/>
              </w:rPr>
              <w:t>Title:</w:t>
            </w:r>
            <w:r w:rsidRPr="0007163A">
              <w:rPr>
                <w:rFonts w:ascii="Calibri" w:hAnsi="Calibri"/>
                <w:sz w:val="20"/>
                <w:szCs w:val="20"/>
              </w:rPr>
              <w:t xml:space="preserve"> </w:t>
            </w:r>
            <w:r w:rsidR="0007163A" w:rsidRPr="0007163A">
              <w:rPr>
                <w:rFonts w:ascii="Calibri" w:hAnsi="Calibri"/>
                <w:b/>
                <w:noProof/>
                <w:sz w:val="20"/>
                <w:szCs w:val="20"/>
              </w:rPr>
              <w:t>Taking a “Best Possible” Medication History</w:t>
            </w:r>
          </w:p>
          <w:p w14:paraId="6F846853" w14:textId="77777777"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45A330B6" w14:textId="77777777"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7163A">
              <w:rPr>
                <w:rFonts w:ascii="Calibri" w:hAnsi="Calibri"/>
                <w:sz w:val="20"/>
                <w:szCs w:val="20"/>
              </w:rPr>
              <w:t>Faculty:</w:t>
            </w:r>
          </w:p>
          <w:p w14:paraId="2190F71D" w14:textId="77777777" w:rsidR="0007163A" w:rsidRPr="00727C5A" w:rsidRDefault="0007163A" w:rsidP="0007163A">
            <w:pPr>
              <w:pStyle w:val="ListParagraph"/>
              <w:numPr>
                <w:ilvl w:val="0"/>
                <w:numId w:val="9"/>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07163A">
              <w:rPr>
                <w:rFonts w:ascii="Calibri" w:eastAsia="Calibri" w:hAnsi="Calibri"/>
                <w:b/>
                <w:iCs/>
                <w:spacing w:val="-1"/>
                <w:sz w:val="20"/>
                <w:szCs w:val="20"/>
              </w:rPr>
              <w:t>Jeffrey</w:t>
            </w:r>
            <w:r w:rsidRPr="00727C5A">
              <w:rPr>
                <w:rFonts w:ascii="Calibri" w:eastAsia="Calibri" w:hAnsi="Calibri"/>
                <w:b/>
                <w:iCs/>
                <w:spacing w:val="-1"/>
                <w:sz w:val="20"/>
                <w:szCs w:val="20"/>
              </w:rPr>
              <w:t xml:space="preserve"> L. Schnipper, M.D., MPH, FHM</w:t>
            </w:r>
          </w:p>
          <w:p w14:paraId="5164C536" w14:textId="77777777" w:rsidR="0007163A" w:rsidRPr="00727C5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eastAsia="Calibri" w:hAnsi="Calibri"/>
                <w:b/>
                <w:noProof/>
                <w:sz w:val="20"/>
                <w:szCs w:val="20"/>
              </w:rPr>
            </w:pPr>
            <w:r w:rsidRPr="00727C5A">
              <w:rPr>
                <w:rFonts w:ascii="Calibri" w:eastAsia="Calibri" w:hAnsi="Calibri"/>
                <w:b/>
                <w:iCs/>
                <w:noProof/>
                <w:sz w:val="20"/>
                <w:szCs w:val="20"/>
              </w:rPr>
              <w:t xml:space="preserve">Amanda S. Mixon, M.D., M.S., MSPH, FHM </w:t>
            </w:r>
          </w:p>
          <w:p w14:paraId="588D4730" w14:textId="77777777" w:rsidR="00860EE8" w:rsidRPr="001C6D8E" w:rsidRDefault="00860EE8" w:rsidP="00860EE8">
            <w:pPr>
              <w:pStyle w:val="ListParagraph"/>
              <w:spacing w:after="0" w:line="240" w:lineRule="auto"/>
              <w:ind w:left="342"/>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51EBA9E8" w14:textId="77777777" w:rsidR="0007163A" w:rsidRPr="0007163A" w:rsidRDefault="0007163A" w:rsidP="0007163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7163A">
              <w:rPr>
                <w:rFonts w:ascii="Calibri" w:hAnsi="Calibri" w:cs="Calibri"/>
                <w:sz w:val="20"/>
                <w:szCs w:val="20"/>
              </w:rPr>
              <w:t>This activity discusses the various practices involved in taking a "best possible" medication history for a patient.</w:t>
            </w:r>
          </w:p>
          <w:p w14:paraId="46586E8E" w14:textId="46AB19CD"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highlight w:val="yellow"/>
              </w:rPr>
            </w:pPr>
          </w:p>
          <w:p w14:paraId="4D48EC6F" w14:textId="77777777" w:rsidR="007E0378" w:rsidRPr="001C6D8E" w:rsidRDefault="007E0378"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4996242A" w14:textId="77777777"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07163A">
              <w:rPr>
                <w:rFonts w:ascii="Calibri" w:hAnsi="Calibri"/>
                <w:b/>
                <w:sz w:val="20"/>
                <w:szCs w:val="20"/>
              </w:rPr>
              <w:lastRenderedPageBreak/>
              <w:t>Learning Objectives:</w:t>
            </w:r>
          </w:p>
          <w:p w14:paraId="2D90FC0E"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t>Demonstrate the goals of a good medication history</w:t>
            </w:r>
          </w:p>
          <w:p w14:paraId="2E228107"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t>Discuss tips for taking a good medication history</w:t>
            </w:r>
          </w:p>
          <w:p w14:paraId="7CBCAF26"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t>Summarize high-performance behaviors of medication history-taking</w:t>
            </w:r>
          </w:p>
          <w:p w14:paraId="6D983B30"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t>List various resources, online and elsewhere, to help guide medication history-taking and how to access them</w:t>
            </w:r>
          </w:p>
          <w:p w14:paraId="0423A058"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t>Practice checklist of best practice behaviors</w:t>
            </w:r>
          </w:p>
          <w:p w14:paraId="65CB05D7"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t>Analyze examples of high-quality medication history-taking</w:t>
            </w:r>
          </w:p>
          <w:p w14:paraId="38ABF9F3"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t>Contrast history-taking techniques in patients with and without access to a medication list</w:t>
            </w:r>
          </w:p>
          <w:p w14:paraId="38A0A7E2"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t>Illustrate other behaviors necessary for taking a “best possible” medication history (BPMH) from patients and caregivers</w:t>
            </w:r>
          </w:p>
          <w:p w14:paraId="06556352"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t>Recognize professional behaviors and interpersonal skills necessary for medication history-taking</w:t>
            </w:r>
          </w:p>
          <w:p w14:paraId="4225DF04" w14:textId="26B90893" w:rsidR="00B30D9C"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07163A">
              <w:rPr>
                <w:sz w:val="20"/>
                <w:szCs w:val="20"/>
              </w:rPr>
              <w:t>Evaluate issues related to documentation of medication histories</w:t>
            </w:r>
          </w:p>
        </w:tc>
      </w:tr>
      <w:tr w:rsidR="00B30D9C" w:rsidRPr="00403CAF" w14:paraId="7BA475D4" w14:textId="77777777" w:rsidTr="00DC08E6">
        <w:tc>
          <w:tcPr>
            <w:cnfStyle w:val="001000000000" w:firstRow="0" w:lastRow="0" w:firstColumn="1" w:lastColumn="0" w:oddVBand="0" w:evenVBand="0" w:oddHBand="0" w:evenHBand="0" w:firstRowFirstColumn="0" w:firstRowLastColumn="0" w:lastRowFirstColumn="0" w:lastRowLastColumn="0"/>
            <w:tcW w:w="4204" w:type="dxa"/>
          </w:tcPr>
          <w:p w14:paraId="62B545B7" w14:textId="1BCE9B6F" w:rsidR="00B30D9C" w:rsidRPr="00A27BA5" w:rsidRDefault="00B30D9C" w:rsidP="00601D9E">
            <w:pPr>
              <w:rPr>
                <w:rFonts w:cstheme="minorHAnsi"/>
                <w:b w:val="0"/>
                <w:sz w:val="20"/>
                <w:szCs w:val="20"/>
              </w:rPr>
            </w:pPr>
            <w:r w:rsidRPr="00A27BA5">
              <w:rPr>
                <w:rFonts w:cstheme="minorHAnsi"/>
                <w:sz w:val="20"/>
                <w:szCs w:val="20"/>
              </w:rPr>
              <w:lastRenderedPageBreak/>
              <w:t>ACPE #:</w:t>
            </w:r>
          </w:p>
          <w:p w14:paraId="72A9AC15" w14:textId="77777777" w:rsidR="00A27BA5" w:rsidRPr="00A27BA5" w:rsidRDefault="00A27BA5" w:rsidP="00A27BA5">
            <w:pPr>
              <w:rPr>
                <w:rFonts w:cstheme="minorHAnsi"/>
                <w:sz w:val="20"/>
                <w:szCs w:val="20"/>
              </w:rPr>
            </w:pPr>
            <w:r w:rsidRPr="00A27BA5">
              <w:rPr>
                <w:rFonts w:cstheme="minorHAnsi"/>
                <w:sz w:val="20"/>
                <w:szCs w:val="20"/>
              </w:rPr>
              <w:t xml:space="preserve">0204-0000-20-725-H04-P and T </w:t>
            </w:r>
          </w:p>
          <w:p w14:paraId="2973B97C" w14:textId="77777777" w:rsidR="005D5326" w:rsidRPr="00A27BA5" w:rsidRDefault="005D5326" w:rsidP="00601D9E">
            <w:pPr>
              <w:rPr>
                <w:rFonts w:cstheme="minorHAnsi"/>
                <w:sz w:val="20"/>
                <w:szCs w:val="20"/>
              </w:rPr>
            </w:pPr>
          </w:p>
          <w:p w14:paraId="7F981A3A" w14:textId="1A894FA1" w:rsidR="00B30D9C" w:rsidRPr="00A27BA5" w:rsidRDefault="00B30D9C" w:rsidP="00601D9E">
            <w:pPr>
              <w:rPr>
                <w:rFonts w:cstheme="minorHAnsi"/>
                <w:sz w:val="20"/>
                <w:szCs w:val="20"/>
              </w:rPr>
            </w:pPr>
            <w:r w:rsidRPr="00A27BA5">
              <w:rPr>
                <w:rFonts w:cstheme="minorHAnsi"/>
                <w:sz w:val="20"/>
                <w:szCs w:val="20"/>
              </w:rPr>
              <w:t xml:space="preserve">CE Hours: </w:t>
            </w:r>
            <w:r w:rsidR="0007163A" w:rsidRPr="00A27BA5">
              <w:rPr>
                <w:rFonts w:cstheme="minorHAnsi"/>
                <w:noProof/>
                <w:sz w:val="20"/>
                <w:szCs w:val="20"/>
              </w:rPr>
              <w:t>1.5</w:t>
            </w:r>
          </w:p>
          <w:p w14:paraId="09331E7B" w14:textId="77777777" w:rsidR="00B30D9C" w:rsidRPr="00A27BA5" w:rsidRDefault="00B30D9C" w:rsidP="00601D9E">
            <w:pPr>
              <w:rPr>
                <w:rFonts w:cstheme="minorHAnsi"/>
                <w:sz w:val="20"/>
                <w:szCs w:val="20"/>
              </w:rPr>
            </w:pPr>
          </w:p>
          <w:p w14:paraId="09250E75" w14:textId="77777777" w:rsidR="00B30D9C" w:rsidRPr="00A27BA5" w:rsidRDefault="00B30D9C" w:rsidP="00601D9E">
            <w:pPr>
              <w:rPr>
                <w:rFonts w:cstheme="minorHAnsi"/>
                <w:sz w:val="20"/>
                <w:szCs w:val="20"/>
              </w:rPr>
            </w:pPr>
            <w:r w:rsidRPr="00A27BA5">
              <w:rPr>
                <w:rFonts w:cstheme="minorHAnsi"/>
                <w:sz w:val="20"/>
                <w:szCs w:val="20"/>
              </w:rPr>
              <w:t xml:space="preserve">Activity Type: </w:t>
            </w:r>
            <w:r w:rsidRPr="00A27BA5">
              <w:rPr>
                <w:rFonts w:cstheme="minorHAnsi"/>
                <w:noProof/>
                <w:sz w:val="20"/>
                <w:szCs w:val="20"/>
              </w:rPr>
              <w:t>Application-based</w:t>
            </w:r>
          </w:p>
          <w:p w14:paraId="6DA853B3" w14:textId="77777777" w:rsidR="00B30D9C" w:rsidRPr="00A27BA5" w:rsidRDefault="00B30D9C" w:rsidP="00601D9E">
            <w:pPr>
              <w:rPr>
                <w:rFonts w:cstheme="minorHAnsi"/>
                <w:sz w:val="20"/>
                <w:szCs w:val="20"/>
              </w:rPr>
            </w:pPr>
          </w:p>
          <w:p w14:paraId="19B9AD54" w14:textId="5CBCD29F" w:rsidR="00B30D9C" w:rsidRPr="00A27BA5" w:rsidRDefault="00B30D9C" w:rsidP="00EF52A9">
            <w:pPr>
              <w:rPr>
                <w:rFonts w:cstheme="minorHAnsi"/>
                <w:sz w:val="20"/>
                <w:szCs w:val="20"/>
              </w:rPr>
            </w:pPr>
          </w:p>
        </w:tc>
        <w:tc>
          <w:tcPr>
            <w:tcW w:w="5146" w:type="dxa"/>
          </w:tcPr>
          <w:p w14:paraId="2D1BBD82" w14:textId="4E0F2BB9" w:rsidR="00B30D9C" w:rsidRPr="0007163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7163A">
              <w:rPr>
                <w:rFonts w:ascii="Calibri" w:hAnsi="Calibri"/>
                <w:b/>
                <w:sz w:val="20"/>
                <w:szCs w:val="20"/>
              </w:rPr>
              <w:t xml:space="preserve">Title: </w:t>
            </w:r>
            <w:r w:rsidR="0007163A" w:rsidRPr="0007163A">
              <w:rPr>
                <w:rFonts w:ascii="Calibri" w:hAnsi="Calibri"/>
                <w:b/>
                <w:noProof/>
                <w:sz w:val="20"/>
                <w:szCs w:val="20"/>
              </w:rPr>
              <w:t>Critiquing Medication Histories</w:t>
            </w:r>
          </w:p>
          <w:p w14:paraId="1C42021D" w14:textId="77777777" w:rsidR="00B30D9C" w:rsidRPr="0007163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2B57DCDE" w14:textId="77777777" w:rsidR="00B30D9C" w:rsidRPr="0007163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7163A">
              <w:rPr>
                <w:rFonts w:ascii="Calibri" w:hAnsi="Calibri"/>
                <w:sz w:val="20"/>
                <w:szCs w:val="20"/>
              </w:rPr>
              <w:t>Faculty:</w:t>
            </w:r>
          </w:p>
          <w:p w14:paraId="581064E1" w14:textId="20BC1A77" w:rsidR="00B30D9C" w:rsidRPr="0007163A" w:rsidRDefault="0007163A" w:rsidP="0007163A">
            <w:pPr>
              <w:pStyle w:val="ListParagraph"/>
              <w:numPr>
                <w:ilvl w:val="0"/>
                <w:numId w:val="9"/>
              </w:numPr>
              <w:spacing w:before="7"/>
              <w:cnfStyle w:val="000000000000" w:firstRow="0" w:lastRow="0" w:firstColumn="0" w:lastColumn="0" w:oddVBand="0" w:evenVBand="0" w:oddHBand="0" w:evenHBand="0" w:firstRowFirstColumn="0" w:firstRowLastColumn="0" w:lastRowFirstColumn="0" w:lastRowLastColumn="0"/>
              <w:rPr>
                <w:rFonts w:ascii="Calibri" w:eastAsia="Calibri" w:hAnsi="Calibri"/>
                <w:b/>
                <w:spacing w:val="-1"/>
                <w:sz w:val="20"/>
                <w:szCs w:val="20"/>
              </w:rPr>
            </w:pPr>
            <w:r w:rsidRPr="0007163A">
              <w:rPr>
                <w:rFonts w:ascii="Calibri" w:eastAsia="Calibri" w:hAnsi="Calibri"/>
                <w:b/>
                <w:iCs/>
                <w:spacing w:val="-1"/>
                <w:sz w:val="20"/>
                <w:szCs w:val="20"/>
              </w:rPr>
              <w:t>Jeffrey L. Schnipper, M.D., MPH, FHM</w:t>
            </w:r>
          </w:p>
          <w:p w14:paraId="39126628" w14:textId="77777777" w:rsidR="0007163A" w:rsidRPr="0007163A" w:rsidRDefault="0007163A" w:rsidP="0007163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63A">
              <w:rPr>
                <w:rFonts w:ascii="Calibri" w:hAnsi="Calibri" w:cs="Calibri"/>
                <w:sz w:val="20"/>
                <w:szCs w:val="20"/>
              </w:rPr>
              <w:t xml:space="preserve">This activity evaluates various medication history-taking examples. </w:t>
            </w:r>
          </w:p>
          <w:p w14:paraId="53D0447C" w14:textId="77777777" w:rsidR="007E0378" w:rsidRPr="0007163A" w:rsidRDefault="007E0378"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0DE83040" w14:textId="77777777" w:rsidR="00B30D9C" w:rsidRPr="0007163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07163A">
              <w:rPr>
                <w:rFonts w:ascii="Calibri" w:hAnsi="Calibri"/>
                <w:b/>
                <w:sz w:val="20"/>
                <w:szCs w:val="20"/>
              </w:rPr>
              <w:t>Learning Objectives:</w:t>
            </w:r>
          </w:p>
          <w:p w14:paraId="1FC3BFAC" w14:textId="77777777" w:rsidR="0007163A" w:rsidRPr="0007163A" w:rsidRDefault="0007163A" w:rsidP="0007163A">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7163A">
              <w:rPr>
                <w:sz w:val="20"/>
                <w:szCs w:val="20"/>
              </w:rPr>
              <w:t>Evaluate poorly-done medication histories</w:t>
            </w:r>
          </w:p>
          <w:p w14:paraId="339CDE4F" w14:textId="77777777" w:rsidR="0007163A" w:rsidRPr="0007163A" w:rsidRDefault="0007163A" w:rsidP="0007163A">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7163A">
              <w:rPr>
                <w:sz w:val="20"/>
                <w:szCs w:val="20"/>
              </w:rPr>
              <w:t xml:space="preserve">Identify specific deficiencies </w:t>
            </w:r>
          </w:p>
          <w:p w14:paraId="240958B7" w14:textId="77777777" w:rsidR="0007163A" w:rsidRPr="0007163A" w:rsidRDefault="0007163A" w:rsidP="0007163A">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7163A">
              <w:rPr>
                <w:sz w:val="20"/>
                <w:szCs w:val="20"/>
              </w:rPr>
              <w:t>Compare with one’s own medication taking behavior</w:t>
            </w:r>
          </w:p>
          <w:p w14:paraId="159D1A0F" w14:textId="77777777" w:rsidR="0007163A" w:rsidRPr="0007163A" w:rsidRDefault="0007163A" w:rsidP="0007163A">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7163A">
              <w:rPr>
                <w:sz w:val="20"/>
                <w:szCs w:val="20"/>
              </w:rPr>
              <w:t>Prepare best practices to avoid the errors identified in these scripts</w:t>
            </w:r>
          </w:p>
          <w:p w14:paraId="485B8FB2" w14:textId="716A8D83" w:rsidR="00B30D9C" w:rsidRPr="0007163A" w:rsidRDefault="00B30D9C" w:rsidP="0007163A">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highlight w:val="yellow"/>
              </w:rPr>
            </w:pPr>
          </w:p>
        </w:tc>
      </w:tr>
      <w:tr w:rsidR="00B30D9C" w:rsidRPr="00403CAF" w14:paraId="2980D8BB"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65098CDE" w14:textId="77777777" w:rsidR="00B30D9C" w:rsidRPr="00A27BA5" w:rsidRDefault="00B30D9C" w:rsidP="00601D9E">
            <w:pPr>
              <w:rPr>
                <w:rFonts w:cstheme="minorHAnsi"/>
                <w:b w:val="0"/>
                <w:sz w:val="20"/>
                <w:szCs w:val="20"/>
              </w:rPr>
            </w:pPr>
            <w:r w:rsidRPr="00A27BA5">
              <w:rPr>
                <w:rFonts w:cstheme="minorHAnsi"/>
                <w:sz w:val="20"/>
                <w:szCs w:val="20"/>
              </w:rPr>
              <w:t xml:space="preserve">ACPE #: </w:t>
            </w:r>
          </w:p>
          <w:p w14:paraId="08B6E787" w14:textId="77777777" w:rsidR="00A27BA5" w:rsidRPr="00A27BA5" w:rsidRDefault="00A27BA5" w:rsidP="00A27BA5">
            <w:pPr>
              <w:rPr>
                <w:rFonts w:cstheme="minorHAnsi"/>
                <w:sz w:val="20"/>
                <w:szCs w:val="20"/>
              </w:rPr>
            </w:pPr>
            <w:r w:rsidRPr="00A27BA5">
              <w:rPr>
                <w:rFonts w:cstheme="minorHAnsi"/>
                <w:sz w:val="20"/>
                <w:szCs w:val="20"/>
              </w:rPr>
              <w:t xml:space="preserve">0204-0000-20-726-H04-P and T </w:t>
            </w:r>
          </w:p>
          <w:p w14:paraId="6F318CA3" w14:textId="77777777" w:rsidR="005D5326" w:rsidRPr="00A27BA5" w:rsidRDefault="005D5326" w:rsidP="00601D9E">
            <w:pPr>
              <w:rPr>
                <w:rFonts w:cstheme="minorHAnsi"/>
                <w:sz w:val="20"/>
                <w:szCs w:val="20"/>
              </w:rPr>
            </w:pPr>
          </w:p>
          <w:p w14:paraId="2095CE88" w14:textId="5BFB2124" w:rsidR="00B30D9C" w:rsidRPr="00A27BA5" w:rsidRDefault="00B30D9C" w:rsidP="00601D9E">
            <w:pPr>
              <w:rPr>
                <w:rFonts w:cstheme="minorHAnsi"/>
                <w:sz w:val="20"/>
                <w:szCs w:val="20"/>
              </w:rPr>
            </w:pPr>
            <w:r w:rsidRPr="00A27BA5">
              <w:rPr>
                <w:rFonts w:cstheme="minorHAnsi"/>
                <w:sz w:val="20"/>
                <w:szCs w:val="20"/>
              </w:rPr>
              <w:t xml:space="preserve">CE Hours: </w:t>
            </w:r>
            <w:r w:rsidRPr="00A27BA5">
              <w:rPr>
                <w:rFonts w:cstheme="minorHAnsi"/>
                <w:noProof/>
                <w:sz w:val="20"/>
                <w:szCs w:val="20"/>
              </w:rPr>
              <w:t>2.</w:t>
            </w:r>
            <w:r w:rsidR="0007163A" w:rsidRPr="00A27BA5">
              <w:rPr>
                <w:rFonts w:cstheme="minorHAnsi"/>
                <w:noProof/>
                <w:sz w:val="20"/>
                <w:szCs w:val="20"/>
              </w:rPr>
              <w:t>0</w:t>
            </w:r>
          </w:p>
          <w:p w14:paraId="2E21058F" w14:textId="77777777" w:rsidR="00B30D9C" w:rsidRPr="00A27BA5" w:rsidRDefault="00B30D9C" w:rsidP="00601D9E">
            <w:pPr>
              <w:rPr>
                <w:rFonts w:cstheme="minorHAnsi"/>
                <w:sz w:val="20"/>
                <w:szCs w:val="20"/>
              </w:rPr>
            </w:pPr>
          </w:p>
          <w:p w14:paraId="43DF03BC" w14:textId="77777777" w:rsidR="00B30D9C" w:rsidRPr="00A27BA5" w:rsidRDefault="00B30D9C" w:rsidP="00601D9E">
            <w:pPr>
              <w:rPr>
                <w:rFonts w:cstheme="minorHAnsi"/>
                <w:sz w:val="20"/>
                <w:szCs w:val="20"/>
              </w:rPr>
            </w:pPr>
            <w:r w:rsidRPr="00A27BA5">
              <w:rPr>
                <w:rFonts w:cstheme="minorHAnsi"/>
                <w:sz w:val="20"/>
                <w:szCs w:val="20"/>
              </w:rPr>
              <w:t xml:space="preserve">Activity Type: </w:t>
            </w:r>
            <w:r w:rsidRPr="00A27BA5">
              <w:rPr>
                <w:rFonts w:cstheme="minorHAnsi"/>
                <w:noProof/>
                <w:sz w:val="20"/>
                <w:szCs w:val="20"/>
              </w:rPr>
              <w:t>Application-based</w:t>
            </w:r>
          </w:p>
          <w:p w14:paraId="5D9F1365" w14:textId="77777777" w:rsidR="00B30D9C" w:rsidRPr="00A27BA5" w:rsidRDefault="00B30D9C" w:rsidP="00601D9E">
            <w:pPr>
              <w:rPr>
                <w:rFonts w:cstheme="minorHAnsi"/>
                <w:sz w:val="20"/>
                <w:szCs w:val="20"/>
              </w:rPr>
            </w:pPr>
          </w:p>
          <w:p w14:paraId="1A76D4E8" w14:textId="207ADDBA" w:rsidR="00B30D9C" w:rsidRPr="00A27BA5" w:rsidRDefault="00B30D9C" w:rsidP="00601D9E">
            <w:pPr>
              <w:rPr>
                <w:rFonts w:cstheme="minorHAnsi"/>
                <w:sz w:val="20"/>
                <w:szCs w:val="20"/>
              </w:rPr>
            </w:pPr>
          </w:p>
        </w:tc>
        <w:tc>
          <w:tcPr>
            <w:tcW w:w="5146" w:type="dxa"/>
          </w:tcPr>
          <w:p w14:paraId="3CA07E92" w14:textId="2277551A"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7163A">
              <w:rPr>
                <w:rFonts w:ascii="Calibri" w:hAnsi="Calibri"/>
                <w:b/>
                <w:sz w:val="20"/>
                <w:szCs w:val="20"/>
              </w:rPr>
              <w:t>Title:</w:t>
            </w:r>
            <w:r w:rsidRPr="0007163A">
              <w:rPr>
                <w:rFonts w:ascii="Calibri" w:hAnsi="Calibri"/>
                <w:sz w:val="20"/>
                <w:szCs w:val="20"/>
              </w:rPr>
              <w:t xml:space="preserve"> </w:t>
            </w:r>
            <w:r w:rsidR="00853B94">
              <w:rPr>
                <w:rFonts w:ascii="Calibri" w:hAnsi="Calibri"/>
                <w:b/>
                <w:noProof/>
                <w:sz w:val="20"/>
                <w:szCs w:val="20"/>
              </w:rPr>
              <w:t>Customization</w:t>
            </w:r>
            <w:r w:rsidR="0007163A" w:rsidRPr="0007163A">
              <w:rPr>
                <w:rFonts w:ascii="Calibri" w:hAnsi="Calibri"/>
                <w:b/>
                <w:noProof/>
                <w:sz w:val="20"/>
                <w:szCs w:val="20"/>
              </w:rPr>
              <w:t xml:space="preserve"> for Your Institution</w:t>
            </w:r>
          </w:p>
          <w:p w14:paraId="74246AEC" w14:textId="77777777"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426CF4E" w14:textId="77777777"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7163A">
              <w:rPr>
                <w:rFonts w:ascii="Calibri" w:hAnsi="Calibri"/>
                <w:sz w:val="20"/>
                <w:szCs w:val="20"/>
              </w:rPr>
              <w:t>Faculty:</w:t>
            </w:r>
          </w:p>
          <w:p w14:paraId="1EB19C75" w14:textId="5ED994A9" w:rsidR="00B30D9C" w:rsidRPr="0007163A" w:rsidRDefault="0007163A" w:rsidP="0007163A">
            <w:pPr>
              <w:pStyle w:val="ListParagraph"/>
              <w:numPr>
                <w:ilvl w:val="0"/>
                <w:numId w:val="9"/>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07163A">
              <w:rPr>
                <w:rFonts w:ascii="Calibri" w:eastAsia="Calibri" w:hAnsi="Calibri"/>
                <w:b/>
                <w:iCs/>
                <w:spacing w:val="-1"/>
                <w:sz w:val="20"/>
                <w:szCs w:val="20"/>
              </w:rPr>
              <w:t>Jeffrey L. Schnipper, M.D., MPH, FHM</w:t>
            </w:r>
          </w:p>
          <w:p w14:paraId="1FE79340" w14:textId="01177C79" w:rsidR="0007163A" w:rsidRPr="0007163A" w:rsidRDefault="0007163A" w:rsidP="0007163A">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07163A">
              <w:rPr>
                <w:rFonts w:ascii="Calibri" w:hAnsi="Calibri" w:cs="Calibri"/>
                <w:sz w:val="20"/>
                <w:szCs w:val="20"/>
              </w:rPr>
              <w:t>This activity discusses how to customize a medication-</w:t>
            </w:r>
            <w:bookmarkStart w:id="0" w:name="_GoBack"/>
            <w:bookmarkEnd w:id="0"/>
            <w:r w:rsidRPr="0007163A">
              <w:rPr>
                <w:rFonts w:ascii="Calibri" w:hAnsi="Calibri" w:cs="Calibri"/>
                <w:sz w:val="20"/>
                <w:szCs w:val="20"/>
              </w:rPr>
              <w:t xml:space="preserve">history taking program to meet the specific needs of the institution. </w:t>
            </w:r>
          </w:p>
          <w:p w14:paraId="1F439836" w14:textId="77777777" w:rsidR="007E0378" w:rsidRPr="0007163A" w:rsidRDefault="007E0378"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14E05856" w14:textId="77777777"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07163A">
              <w:rPr>
                <w:rFonts w:ascii="Calibri" w:hAnsi="Calibri"/>
                <w:b/>
                <w:sz w:val="20"/>
                <w:szCs w:val="20"/>
              </w:rPr>
              <w:t>Learning Objectives:</w:t>
            </w:r>
          </w:p>
          <w:p w14:paraId="56D45E4A" w14:textId="77777777" w:rsidR="00B30D9C" w:rsidRPr="0007163A" w:rsidRDefault="0007163A" w:rsidP="0007163A">
            <w:pPr>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07163A">
              <w:rPr>
                <w:sz w:val="20"/>
                <w:szCs w:val="20"/>
              </w:rPr>
              <w:lastRenderedPageBreak/>
              <w:t>Demonstrate ways in which the medication history-taking process will need customization for each institution</w:t>
            </w:r>
          </w:p>
          <w:p w14:paraId="5E276CAC" w14:textId="0BAF1564" w:rsidR="0007163A" w:rsidRPr="0007163A" w:rsidRDefault="0007163A" w:rsidP="0007163A">
            <w:pPr>
              <w:spacing w:line="276" w:lineRule="auto"/>
              <w:ind w:left="1080"/>
              <w:cnfStyle w:val="000000100000" w:firstRow="0" w:lastRow="0" w:firstColumn="0" w:lastColumn="0" w:oddVBand="0" w:evenVBand="0" w:oddHBand="1" w:evenHBand="0" w:firstRowFirstColumn="0" w:firstRowLastColumn="0" w:lastRowFirstColumn="0" w:lastRowLastColumn="0"/>
              <w:rPr>
                <w:sz w:val="20"/>
                <w:szCs w:val="20"/>
              </w:rPr>
            </w:pPr>
          </w:p>
        </w:tc>
      </w:tr>
      <w:tr w:rsidR="00B30D9C" w:rsidRPr="00403CAF" w14:paraId="185F754B" w14:textId="77777777" w:rsidTr="00DC08E6">
        <w:tc>
          <w:tcPr>
            <w:cnfStyle w:val="001000000000" w:firstRow="0" w:lastRow="0" w:firstColumn="1" w:lastColumn="0" w:oddVBand="0" w:evenVBand="0" w:oddHBand="0" w:evenHBand="0" w:firstRowFirstColumn="0" w:firstRowLastColumn="0" w:lastRowFirstColumn="0" w:lastRowLastColumn="0"/>
            <w:tcW w:w="4204" w:type="dxa"/>
          </w:tcPr>
          <w:p w14:paraId="17DAE564" w14:textId="77777777" w:rsidR="00B30D9C" w:rsidRPr="00A27BA5" w:rsidRDefault="00B30D9C" w:rsidP="00601D9E">
            <w:pPr>
              <w:rPr>
                <w:rFonts w:cstheme="minorHAnsi"/>
                <w:b w:val="0"/>
                <w:sz w:val="20"/>
                <w:szCs w:val="20"/>
              </w:rPr>
            </w:pPr>
            <w:r w:rsidRPr="00A27BA5">
              <w:rPr>
                <w:rFonts w:cstheme="minorHAnsi"/>
                <w:sz w:val="20"/>
                <w:szCs w:val="20"/>
              </w:rPr>
              <w:lastRenderedPageBreak/>
              <w:t>ACPE #:</w:t>
            </w:r>
          </w:p>
          <w:p w14:paraId="47BF0D4F" w14:textId="20E925DF" w:rsidR="00B30D9C" w:rsidRPr="00A27BA5" w:rsidRDefault="00A27BA5" w:rsidP="00601D9E">
            <w:pPr>
              <w:rPr>
                <w:rFonts w:cstheme="minorHAnsi"/>
                <w:sz w:val="20"/>
                <w:szCs w:val="20"/>
              </w:rPr>
            </w:pPr>
            <w:r w:rsidRPr="00A27BA5">
              <w:rPr>
                <w:rFonts w:cstheme="minorHAnsi"/>
                <w:sz w:val="20"/>
                <w:szCs w:val="20"/>
              </w:rPr>
              <w:t xml:space="preserve">0204-0000-20-727-H04-P and T </w:t>
            </w:r>
          </w:p>
          <w:p w14:paraId="4A7A148C" w14:textId="77777777" w:rsidR="005D5326" w:rsidRPr="00A27BA5" w:rsidRDefault="005D5326" w:rsidP="00601D9E">
            <w:pPr>
              <w:rPr>
                <w:rFonts w:cstheme="minorHAnsi"/>
                <w:sz w:val="20"/>
                <w:szCs w:val="20"/>
              </w:rPr>
            </w:pPr>
          </w:p>
          <w:p w14:paraId="076E6C04" w14:textId="7A5531C2" w:rsidR="00B30D9C" w:rsidRPr="00A27BA5" w:rsidRDefault="00B30D9C" w:rsidP="00601D9E">
            <w:pPr>
              <w:rPr>
                <w:rFonts w:cstheme="minorHAnsi"/>
                <w:sz w:val="20"/>
                <w:szCs w:val="20"/>
              </w:rPr>
            </w:pPr>
            <w:r w:rsidRPr="00A27BA5">
              <w:rPr>
                <w:rFonts w:cstheme="minorHAnsi"/>
                <w:sz w:val="20"/>
                <w:szCs w:val="20"/>
              </w:rPr>
              <w:t xml:space="preserve">CE Hours: </w:t>
            </w:r>
            <w:r w:rsidR="0007163A" w:rsidRPr="00A27BA5">
              <w:rPr>
                <w:rFonts w:cstheme="minorHAnsi"/>
                <w:noProof/>
                <w:sz w:val="20"/>
                <w:szCs w:val="20"/>
              </w:rPr>
              <w:t>2.25</w:t>
            </w:r>
          </w:p>
          <w:p w14:paraId="3232808A" w14:textId="77777777" w:rsidR="00B30D9C" w:rsidRPr="00A27BA5" w:rsidRDefault="00B30D9C" w:rsidP="00601D9E">
            <w:pPr>
              <w:rPr>
                <w:rFonts w:cstheme="minorHAnsi"/>
                <w:sz w:val="20"/>
                <w:szCs w:val="20"/>
              </w:rPr>
            </w:pPr>
          </w:p>
          <w:p w14:paraId="5679F29E" w14:textId="77777777" w:rsidR="00B30D9C" w:rsidRPr="00A27BA5" w:rsidRDefault="00B30D9C" w:rsidP="00601D9E">
            <w:pPr>
              <w:rPr>
                <w:rFonts w:cstheme="minorHAnsi"/>
                <w:sz w:val="20"/>
                <w:szCs w:val="20"/>
              </w:rPr>
            </w:pPr>
            <w:r w:rsidRPr="00A27BA5">
              <w:rPr>
                <w:rFonts w:cstheme="minorHAnsi"/>
                <w:sz w:val="20"/>
                <w:szCs w:val="20"/>
              </w:rPr>
              <w:t xml:space="preserve">Activity Type: </w:t>
            </w:r>
            <w:r w:rsidRPr="00A27BA5">
              <w:rPr>
                <w:rFonts w:cstheme="minorHAnsi"/>
                <w:noProof/>
                <w:sz w:val="20"/>
                <w:szCs w:val="20"/>
              </w:rPr>
              <w:t>Application-based</w:t>
            </w:r>
          </w:p>
          <w:p w14:paraId="1F5D71FD" w14:textId="77777777" w:rsidR="00B30D9C" w:rsidRPr="00A27BA5" w:rsidRDefault="00B30D9C" w:rsidP="00601D9E">
            <w:pPr>
              <w:rPr>
                <w:rFonts w:cstheme="minorHAnsi"/>
                <w:sz w:val="20"/>
                <w:szCs w:val="20"/>
              </w:rPr>
            </w:pPr>
          </w:p>
          <w:p w14:paraId="670F70E7" w14:textId="53516EC8" w:rsidR="00B30D9C" w:rsidRPr="00A27BA5" w:rsidRDefault="00B30D9C" w:rsidP="00601D9E">
            <w:pPr>
              <w:rPr>
                <w:rFonts w:cstheme="minorHAnsi"/>
                <w:sz w:val="20"/>
                <w:szCs w:val="20"/>
              </w:rPr>
            </w:pPr>
          </w:p>
        </w:tc>
        <w:tc>
          <w:tcPr>
            <w:tcW w:w="5146" w:type="dxa"/>
          </w:tcPr>
          <w:p w14:paraId="6F0FA1AC" w14:textId="09044369" w:rsidR="00B30D9C" w:rsidRPr="0007163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7163A">
              <w:rPr>
                <w:rFonts w:ascii="Calibri" w:hAnsi="Calibri"/>
                <w:b/>
                <w:sz w:val="20"/>
                <w:szCs w:val="20"/>
              </w:rPr>
              <w:t>Title:</w:t>
            </w:r>
            <w:r w:rsidRPr="0007163A">
              <w:rPr>
                <w:rFonts w:ascii="Calibri" w:hAnsi="Calibri"/>
                <w:sz w:val="20"/>
                <w:szCs w:val="20"/>
              </w:rPr>
              <w:t xml:space="preserve"> </w:t>
            </w:r>
            <w:r w:rsidR="0007163A" w:rsidRPr="0007163A">
              <w:rPr>
                <w:rFonts w:ascii="Calibri" w:hAnsi="Calibri"/>
                <w:b/>
                <w:noProof/>
                <w:sz w:val="20"/>
                <w:szCs w:val="20"/>
              </w:rPr>
              <w:t>Medication History Program Implementation</w:t>
            </w:r>
          </w:p>
          <w:p w14:paraId="45BA3BD2" w14:textId="77777777" w:rsidR="00B30D9C" w:rsidRPr="0007163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1495B657" w14:textId="77777777" w:rsidR="00B30D9C" w:rsidRPr="0007163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7163A">
              <w:rPr>
                <w:rFonts w:ascii="Calibri" w:hAnsi="Calibri"/>
                <w:sz w:val="20"/>
                <w:szCs w:val="20"/>
              </w:rPr>
              <w:t>Faculty:</w:t>
            </w:r>
          </w:p>
          <w:p w14:paraId="0D5AC141" w14:textId="77777777" w:rsidR="0007163A" w:rsidRPr="0007163A" w:rsidRDefault="0007163A" w:rsidP="0007163A">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w:eastAsia="Calibri" w:hAnsi="Calibri"/>
                <w:b/>
                <w:noProof/>
                <w:sz w:val="20"/>
                <w:szCs w:val="20"/>
              </w:rPr>
            </w:pPr>
            <w:r w:rsidRPr="0007163A">
              <w:rPr>
                <w:rFonts w:ascii="Calibri" w:eastAsia="Calibri" w:hAnsi="Calibri"/>
                <w:b/>
                <w:iCs/>
                <w:noProof/>
                <w:sz w:val="20"/>
                <w:szCs w:val="20"/>
              </w:rPr>
              <w:t xml:space="preserve">Amanda S. Mixon, M.D., M.S., MSPH, FHM </w:t>
            </w:r>
          </w:p>
          <w:p w14:paraId="3CAB6D73" w14:textId="77777777" w:rsidR="0007163A" w:rsidRPr="0007163A" w:rsidRDefault="0007163A" w:rsidP="0007163A">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07163A">
              <w:rPr>
                <w:rFonts w:ascii="Calibri" w:hAnsi="Calibri" w:cs="Calibri"/>
                <w:sz w:val="20"/>
                <w:szCs w:val="20"/>
              </w:rPr>
              <w:t xml:space="preserve">This activity encompasses the various parts required to successfully implement a medication history taking program at your institution. </w:t>
            </w:r>
          </w:p>
          <w:p w14:paraId="2D47C55A" w14:textId="77777777" w:rsidR="000C7193" w:rsidRPr="0007163A" w:rsidRDefault="000C7193" w:rsidP="00601D9E">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51BC5A07" w14:textId="77777777" w:rsidR="00B30D9C" w:rsidRPr="0007163A" w:rsidRDefault="00B30D9C" w:rsidP="00601D9E">
            <w:pPr>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07163A">
              <w:rPr>
                <w:rFonts w:ascii="Calibri" w:hAnsi="Calibri"/>
                <w:b/>
                <w:sz w:val="20"/>
                <w:szCs w:val="20"/>
              </w:rPr>
              <w:t>Learning Objectives:</w:t>
            </w:r>
          </w:p>
          <w:p w14:paraId="7B6136AB" w14:textId="77777777" w:rsidR="0007163A" w:rsidRPr="0007163A" w:rsidRDefault="0007163A" w:rsidP="0007163A">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7163A">
              <w:rPr>
                <w:sz w:val="20"/>
                <w:szCs w:val="20"/>
              </w:rPr>
              <w:t>Propose the different ways to set up a medication history program</w:t>
            </w:r>
          </w:p>
          <w:p w14:paraId="5B7B2FA3" w14:textId="77777777" w:rsidR="0007163A" w:rsidRPr="0007163A" w:rsidRDefault="0007163A" w:rsidP="0007163A">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7163A">
              <w:rPr>
                <w:sz w:val="20"/>
                <w:szCs w:val="20"/>
              </w:rPr>
              <w:t>Formulate the various decisions that need to be made to set up a medication history program (e.g., location, staffing, scope, whether to prioritize high risk patients, etc.)</w:t>
            </w:r>
          </w:p>
          <w:p w14:paraId="1FDF6140" w14:textId="77777777" w:rsidR="0007163A" w:rsidRPr="0007163A" w:rsidRDefault="0007163A" w:rsidP="0007163A">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7163A">
              <w:rPr>
                <w:sz w:val="20"/>
                <w:szCs w:val="20"/>
              </w:rPr>
              <w:t>Discuss keys to success</w:t>
            </w:r>
          </w:p>
          <w:p w14:paraId="57A29057" w14:textId="77777777" w:rsidR="0007163A" w:rsidRPr="0007163A" w:rsidRDefault="0007163A" w:rsidP="0007163A">
            <w:pPr>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07163A">
              <w:rPr>
                <w:sz w:val="20"/>
                <w:szCs w:val="20"/>
              </w:rPr>
              <w:t>Develop a plan to begin to implement changes at your institution</w:t>
            </w:r>
          </w:p>
          <w:p w14:paraId="601B74DF" w14:textId="37D4D7A2" w:rsidR="00B30D9C" w:rsidRPr="0007163A" w:rsidRDefault="00B30D9C" w:rsidP="0007163A">
            <w:pPr>
              <w:cnfStyle w:val="000000000000" w:firstRow="0" w:lastRow="0" w:firstColumn="0" w:lastColumn="0" w:oddVBand="0" w:evenVBand="0" w:oddHBand="0" w:evenHBand="0" w:firstRowFirstColumn="0" w:firstRowLastColumn="0" w:lastRowFirstColumn="0" w:lastRowLastColumn="0"/>
              <w:rPr>
                <w:rFonts w:ascii="Calibri" w:hAnsi="Calibri"/>
                <w:noProof/>
                <w:sz w:val="20"/>
                <w:szCs w:val="20"/>
                <w:highlight w:val="yellow"/>
              </w:rPr>
            </w:pPr>
          </w:p>
        </w:tc>
      </w:tr>
      <w:tr w:rsidR="00B30D9C" w:rsidRPr="00403CAF" w14:paraId="1B0682FB"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38D6F5BC" w14:textId="77777777" w:rsidR="00B30D9C" w:rsidRPr="00A27BA5" w:rsidRDefault="00B30D9C" w:rsidP="00601D9E">
            <w:pPr>
              <w:rPr>
                <w:rFonts w:cstheme="minorHAnsi"/>
                <w:b w:val="0"/>
                <w:sz w:val="20"/>
                <w:szCs w:val="20"/>
              </w:rPr>
            </w:pPr>
            <w:r w:rsidRPr="00A27BA5">
              <w:rPr>
                <w:rFonts w:cstheme="minorHAnsi"/>
                <w:sz w:val="20"/>
                <w:szCs w:val="20"/>
              </w:rPr>
              <w:t>ACPE #:</w:t>
            </w:r>
          </w:p>
          <w:p w14:paraId="2CAB58D8" w14:textId="09165034" w:rsidR="005D5326" w:rsidRPr="00A27BA5" w:rsidRDefault="00A27BA5" w:rsidP="005D5326">
            <w:pPr>
              <w:rPr>
                <w:rFonts w:cstheme="minorHAnsi"/>
                <w:sz w:val="20"/>
                <w:szCs w:val="20"/>
              </w:rPr>
            </w:pPr>
            <w:r w:rsidRPr="00A27BA5">
              <w:rPr>
                <w:rFonts w:cstheme="minorHAnsi"/>
                <w:sz w:val="20"/>
                <w:szCs w:val="20"/>
              </w:rPr>
              <w:t xml:space="preserve">0204-0000-20-728-H03-P and T </w:t>
            </w:r>
          </w:p>
          <w:p w14:paraId="59B010FA" w14:textId="77777777" w:rsidR="00B30D9C" w:rsidRPr="00A27BA5" w:rsidRDefault="00B30D9C" w:rsidP="00601D9E">
            <w:pPr>
              <w:rPr>
                <w:rFonts w:cstheme="minorHAnsi"/>
                <w:sz w:val="20"/>
                <w:szCs w:val="20"/>
              </w:rPr>
            </w:pPr>
          </w:p>
          <w:p w14:paraId="5288326B" w14:textId="0D0D04C9" w:rsidR="00B30D9C" w:rsidRPr="00A27BA5" w:rsidRDefault="00B30D9C" w:rsidP="00601D9E">
            <w:pPr>
              <w:rPr>
                <w:rFonts w:cstheme="minorHAnsi"/>
                <w:sz w:val="20"/>
                <w:szCs w:val="20"/>
              </w:rPr>
            </w:pPr>
            <w:r w:rsidRPr="00A27BA5">
              <w:rPr>
                <w:rFonts w:cstheme="minorHAnsi"/>
                <w:sz w:val="20"/>
                <w:szCs w:val="20"/>
              </w:rPr>
              <w:t xml:space="preserve">CE Hours: </w:t>
            </w:r>
            <w:r w:rsidR="0007163A" w:rsidRPr="00A27BA5">
              <w:rPr>
                <w:rFonts w:cstheme="minorHAnsi"/>
                <w:noProof/>
                <w:sz w:val="20"/>
                <w:szCs w:val="20"/>
              </w:rPr>
              <w:t>1.5</w:t>
            </w:r>
          </w:p>
          <w:p w14:paraId="4E03066A" w14:textId="77777777" w:rsidR="00B30D9C" w:rsidRPr="00A27BA5" w:rsidRDefault="00B30D9C" w:rsidP="00601D9E">
            <w:pPr>
              <w:rPr>
                <w:rFonts w:cstheme="minorHAnsi"/>
                <w:sz w:val="20"/>
                <w:szCs w:val="20"/>
              </w:rPr>
            </w:pPr>
          </w:p>
          <w:p w14:paraId="6519FEA7" w14:textId="77777777" w:rsidR="00B30D9C" w:rsidRPr="00A27BA5" w:rsidRDefault="00B30D9C" w:rsidP="00601D9E">
            <w:pPr>
              <w:rPr>
                <w:rFonts w:cstheme="minorHAnsi"/>
                <w:sz w:val="20"/>
                <w:szCs w:val="20"/>
              </w:rPr>
            </w:pPr>
            <w:r w:rsidRPr="00A27BA5">
              <w:rPr>
                <w:rFonts w:cstheme="minorHAnsi"/>
                <w:sz w:val="20"/>
                <w:szCs w:val="20"/>
              </w:rPr>
              <w:t xml:space="preserve">Activity Type: </w:t>
            </w:r>
            <w:r w:rsidRPr="00A27BA5">
              <w:rPr>
                <w:rFonts w:cstheme="minorHAnsi"/>
                <w:noProof/>
                <w:sz w:val="20"/>
                <w:szCs w:val="20"/>
              </w:rPr>
              <w:t>Application-based</w:t>
            </w:r>
          </w:p>
          <w:p w14:paraId="314B26F5" w14:textId="77777777" w:rsidR="00B30D9C" w:rsidRPr="00A27BA5" w:rsidRDefault="00B30D9C" w:rsidP="00601D9E">
            <w:pPr>
              <w:rPr>
                <w:rFonts w:cstheme="minorHAnsi"/>
                <w:sz w:val="20"/>
                <w:szCs w:val="20"/>
              </w:rPr>
            </w:pPr>
          </w:p>
          <w:p w14:paraId="4E492E86" w14:textId="6AB184C1" w:rsidR="00B30D9C" w:rsidRPr="00A27BA5" w:rsidRDefault="00B30D9C" w:rsidP="000334A2">
            <w:pPr>
              <w:rPr>
                <w:rFonts w:cstheme="minorHAnsi"/>
                <w:sz w:val="20"/>
                <w:szCs w:val="20"/>
              </w:rPr>
            </w:pPr>
          </w:p>
        </w:tc>
        <w:tc>
          <w:tcPr>
            <w:tcW w:w="5146" w:type="dxa"/>
          </w:tcPr>
          <w:p w14:paraId="5FE83E49" w14:textId="5684FD48"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7163A">
              <w:rPr>
                <w:rFonts w:ascii="Calibri" w:hAnsi="Calibri"/>
                <w:b/>
                <w:sz w:val="20"/>
                <w:szCs w:val="20"/>
              </w:rPr>
              <w:t xml:space="preserve">Title: </w:t>
            </w:r>
            <w:r w:rsidR="0007163A" w:rsidRPr="0007163A">
              <w:rPr>
                <w:rFonts w:ascii="Calibri" w:hAnsi="Calibri"/>
                <w:b/>
                <w:noProof/>
                <w:sz w:val="20"/>
                <w:szCs w:val="20"/>
              </w:rPr>
              <w:t>Legal Requirements and Pharmacy Technician Certification Board (PTCB) Preparation</w:t>
            </w:r>
          </w:p>
          <w:p w14:paraId="6BAA6D5A" w14:textId="77777777"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0432190C" w14:textId="77777777"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07163A">
              <w:rPr>
                <w:rFonts w:ascii="Calibri" w:hAnsi="Calibri"/>
                <w:sz w:val="20"/>
                <w:szCs w:val="20"/>
              </w:rPr>
              <w:t>Faculty:</w:t>
            </w:r>
          </w:p>
          <w:p w14:paraId="077CCBBE" w14:textId="54A7C89F" w:rsidR="00B30D9C" w:rsidRPr="0007163A" w:rsidRDefault="0007163A" w:rsidP="0007163A">
            <w:pPr>
              <w:pStyle w:val="ListParagraph"/>
              <w:numPr>
                <w:ilvl w:val="0"/>
                <w:numId w:val="9"/>
              </w:numPr>
              <w:spacing w:before="7"/>
              <w:cnfStyle w:val="000000100000" w:firstRow="0" w:lastRow="0" w:firstColumn="0" w:lastColumn="0" w:oddVBand="0" w:evenVBand="0" w:oddHBand="1" w:evenHBand="0" w:firstRowFirstColumn="0" w:firstRowLastColumn="0" w:lastRowFirstColumn="0" w:lastRowLastColumn="0"/>
              <w:rPr>
                <w:rFonts w:ascii="Calibri" w:eastAsia="Calibri" w:hAnsi="Calibri"/>
                <w:b/>
                <w:spacing w:val="-1"/>
                <w:sz w:val="20"/>
                <w:szCs w:val="20"/>
              </w:rPr>
            </w:pPr>
            <w:r w:rsidRPr="0007163A">
              <w:rPr>
                <w:rFonts w:ascii="Calibri" w:eastAsia="Calibri" w:hAnsi="Calibri"/>
                <w:b/>
                <w:iCs/>
                <w:spacing w:val="-1"/>
                <w:sz w:val="20"/>
                <w:szCs w:val="20"/>
              </w:rPr>
              <w:t>Jeffrey L. Schnipper, M.D., MPH, FHM</w:t>
            </w:r>
          </w:p>
          <w:p w14:paraId="4FD10965" w14:textId="77777777" w:rsidR="0007163A" w:rsidRPr="0007163A" w:rsidRDefault="0007163A" w:rsidP="0007163A">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07163A">
              <w:rPr>
                <w:rFonts w:ascii="Calibri" w:hAnsi="Calibri" w:cs="Calibri"/>
              </w:rPr>
              <w:t>This activity discusses the legal requirements and practice standards for pharmacists and pharmacy technicians, as well as how to prepare for the Pharmacy Technician Certification Board (PTCB) exam.</w:t>
            </w:r>
          </w:p>
          <w:p w14:paraId="5496DB78" w14:textId="77777777" w:rsidR="000C7193" w:rsidRPr="0007163A" w:rsidRDefault="000C7193"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p w14:paraId="378AF460" w14:textId="77777777" w:rsidR="00B30D9C" w:rsidRPr="0007163A"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07163A">
              <w:rPr>
                <w:rFonts w:ascii="Calibri" w:hAnsi="Calibri"/>
                <w:b/>
                <w:sz w:val="20"/>
                <w:szCs w:val="20"/>
              </w:rPr>
              <w:t>Learning Objectives:</w:t>
            </w:r>
          </w:p>
          <w:p w14:paraId="64FB0869"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07163A">
              <w:t>Analyze HIPAA and best practices to maintain patient confidentiality during patient conversations</w:t>
            </w:r>
          </w:p>
          <w:p w14:paraId="0D7E9B49"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07163A">
              <w:t xml:space="preserve">Review procedures to verify patient identity, including appropriate identifiers </w:t>
            </w:r>
          </w:p>
          <w:p w14:paraId="4D17EBA7"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07163A">
              <w:t>Examine state and legal requirements pertaining to the duties of a pharmacist for medication counseling and clinical decision-making</w:t>
            </w:r>
          </w:p>
          <w:p w14:paraId="29B83EFC"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07163A">
              <w:lastRenderedPageBreak/>
              <w:t>Examine state and legal requirements pertaining to the duties of a pharmacy technician for medication counseling and clinical decision-making</w:t>
            </w:r>
          </w:p>
          <w:p w14:paraId="1C5510CE" w14:textId="77777777" w:rsidR="0007163A"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07163A">
              <w:t>Summarize the types of questions on the certification exam</w:t>
            </w:r>
          </w:p>
          <w:p w14:paraId="2041E54D" w14:textId="342DCE7E" w:rsidR="00B30D9C" w:rsidRPr="0007163A" w:rsidRDefault="0007163A" w:rsidP="0007163A">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07163A">
              <w:t>Devise a plan to prepare for the certification exam</w:t>
            </w:r>
            <w:r w:rsidR="000C7193" w:rsidRPr="0007163A">
              <w:rPr>
                <w:rFonts w:ascii="Calibri" w:hAnsi="Calibri"/>
                <w:noProof/>
                <w:sz w:val="20"/>
                <w:szCs w:val="20"/>
              </w:rPr>
              <w:t xml:space="preserve"> </w:t>
            </w:r>
          </w:p>
        </w:tc>
      </w:tr>
    </w:tbl>
    <w:p w14:paraId="08A287DC" w14:textId="77777777" w:rsidR="00A02575" w:rsidRDefault="00A02575" w:rsidP="00601D9E"/>
    <w:p w14:paraId="4ECCF912" w14:textId="77777777" w:rsidR="004F04F2" w:rsidRDefault="004F04F2" w:rsidP="00B33A2F">
      <w:pPr>
        <w:rPr>
          <w:rFonts w:eastAsia="Times New Roman" w:cs="Times New Roman"/>
          <w:sz w:val="20"/>
          <w:szCs w:val="20"/>
        </w:rPr>
      </w:pPr>
    </w:p>
    <w:p w14:paraId="2FBE0277" w14:textId="77777777" w:rsidR="005B006E" w:rsidRDefault="005B006E">
      <w:pPr>
        <w:rPr>
          <w:b/>
          <w:color w:val="000099"/>
          <w:sz w:val="24"/>
        </w:rPr>
      </w:pPr>
      <w:r>
        <w:rPr>
          <w:b/>
          <w:color w:val="000099"/>
          <w:sz w:val="24"/>
        </w:rPr>
        <w:br w:type="page"/>
      </w:r>
    </w:p>
    <w:p w14:paraId="01E8B545" w14:textId="0A77C49A" w:rsidR="00BD6CB1" w:rsidRDefault="00BD6CB1" w:rsidP="00B33A2F">
      <w:pPr>
        <w:pBdr>
          <w:bottom w:val="single" w:sz="6" w:space="1" w:color="auto"/>
        </w:pBdr>
        <w:rPr>
          <w:b/>
          <w:color w:val="000099"/>
          <w:sz w:val="24"/>
        </w:rPr>
      </w:pPr>
      <w:r w:rsidRPr="00935DD9">
        <w:rPr>
          <w:b/>
          <w:color w:val="000099"/>
          <w:sz w:val="24"/>
        </w:rPr>
        <w:lastRenderedPageBreak/>
        <w:t>Faculty</w:t>
      </w:r>
      <w:r>
        <w:rPr>
          <w:b/>
          <w:color w:val="000099"/>
          <w:sz w:val="24"/>
        </w:rPr>
        <w:t xml:space="preserve"> Information</w:t>
      </w:r>
    </w:p>
    <w:p w14:paraId="504E880C" w14:textId="77777777" w:rsidR="00791750" w:rsidRDefault="00791750" w:rsidP="00791750">
      <w:pPr>
        <w:rPr>
          <w:b/>
          <w:color w:val="000099"/>
          <w:sz w:val="24"/>
        </w:rPr>
      </w:pPr>
    </w:p>
    <w:p w14:paraId="577EDB0D" w14:textId="77777777" w:rsidR="00380A3F" w:rsidRDefault="00380A3F" w:rsidP="00791750">
      <w:pPr>
        <w:rPr>
          <w:rFonts w:ascii="Calibri" w:eastAsia="Calibri" w:hAnsi="Calibri"/>
          <w:b/>
        </w:rPr>
        <w:sectPr w:rsidR="00380A3F" w:rsidSect="00DC08E6">
          <w:headerReference w:type="default" r:id="rId9"/>
          <w:footerReference w:type="default" r:id="rId10"/>
          <w:headerReference w:type="first" r:id="rId11"/>
          <w:pgSz w:w="12240" w:h="15840" w:code="1"/>
          <w:pgMar w:top="1440" w:right="1440" w:bottom="1008" w:left="1440" w:header="720" w:footer="720" w:gutter="0"/>
          <w:cols w:space="720"/>
          <w:docGrid w:linePitch="360"/>
        </w:sectPr>
      </w:pPr>
    </w:p>
    <w:p w14:paraId="1176EAE1" w14:textId="42A81F2B" w:rsidR="0007163A" w:rsidRPr="00293C0C" w:rsidRDefault="0007163A" w:rsidP="0007163A">
      <w:pPr>
        <w:spacing w:before="7"/>
        <w:rPr>
          <w:rFonts w:ascii="Calibri" w:eastAsia="Calibri" w:hAnsi="Calibri"/>
          <w:b/>
          <w:iCs/>
          <w:spacing w:val="-1"/>
          <w:sz w:val="20"/>
          <w:szCs w:val="20"/>
        </w:rPr>
      </w:pPr>
      <w:r w:rsidRPr="00293C0C">
        <w:rPr>
          <w:rFonts w:ascii="Calibri" w:eastAsia="Calibri" w:hAnsi="Calibri"/>
          <w:b/>
          <w:iCs/>
          <w:spacing w:val="-1"/>
          <w:sz w:val="20"/>
          <w:szCs w:val="20"/>
        </w:rPr>
        <w:t>Jeffrey L. Schnipper, M.D., MPH, FHM</w:t>
      </w:r>
    </w:p>
    <w:p w14:paraId="35F805A6" w14:textId="7D2D607B" w:rsidR="00737683" w:rsidRPr="00293C0C" w:rsidRDefault="00737683" w:rsidP="00737683">
      <w:pPr>
        <w:rPr>
          <w:rFonts w:cs="Arial"/>
          <w:sz w:val="20"/>
          <w:szCs w:val="20"/>
        </w:rPr>
      </w:pPr>
      <w:r w:rsidRPr="00293C0C">
        <w:rPr>
          <w:rFonts w:cs="Arial"/>
          <w:sz w:val="20"/>
          <w:szCs w:val="20"/>
        </w:rPr>
        <w:t>Research Director, Division of General Internal Medicine, Brigham and Women’s Hospital</w:t>
      </w:r>
    </w:p>
    <w:p w14:paraId="0C255288" w14:textId="03C7BF16" w:rsidR="00737683" w:rsidRPr="00293C0C" w:rsidRDefault="00737683" w:rsidP="00737683">
      <w:pPr>
        <w:rPr>
          <w:rFonts w:cs="Arial"/>
          <w:sz w:val="20"/>
          <w:szCs w:val="20"/>
        </w:rPr>
      </w:pPr>
      <w:r w:rsidRPr="00293C0C">
        <w:rPr>
          <w:rFonts w:cs="Arial"/>
          <w:sz w:val="20"/>
          <w:szCs w:val="20"/>
        </w:rPr>
        <w:t>Director of Clinical Research, Hospital Medicine Unit, Brigham Health</w:t>
      </w:r>
      <w:r w:rsidRPr="00293C0C">
        <w:rPr>
          <w:rFonts w:cs="Arial"/>
          <w:sz w:val="20"/>
          <w:szCs w:val="20"/>
        </w:rPr>
        <w:br/>
        <w:t>Associate Professor of Medicine, Harvard Medical School</w:t>
      </w:r>
    </w:p>
    <w:p w14:paraId="4C1E4260" w14:textId="77777777" w:rsidR="00737683" w:rsidRPr="00737683" w:rsidRDefault="00737683" w:rsidP="00737683">
      <w:pPr>
        <w:rPr>
          <w:rFonts w:cs="Arial"/>
          <w:sz w:val="20"/>
          <w:szCs w:val="20"/>
        </w:rPr>
      </w:pPr>
      <w:r w:rsidRPr="00293C0C">
        <w:rPr>
          <w:rFonts w:cs="Arial"/>
          <w:sz w:val="20"/>
          <w:szCs w:val="20"/>
        </w:rPr>
        <w:t>Brigham and</w:t>
      </w:r>
      <w:r w:rsidRPr="00737683">
        <w:rPr>
          <w:rFonts w:cs="Arial"/>
          <w:sz w:val="20"/>
          <w:szCs w:val="20"/>
        </w:rPr>
        <w:t xml:space="preserve"> Women’s Hospital</w:t>
      </w:r>
    </w:p>
    <w:p w14:paraId="16BD4954" w14:textId="6FF16D24" w:rsidR="00737683" w:rsidRPr="00737683" w:rsidRDefault="00737683" w:rsidP="00737683">
      <w:pPr>
        <w:rPr>
          <w:rFonts w:cs="Arial"/>
          <w:sz w:val="20"/>
          <w:szCs w:val="20"/>
        </w:rPr>
      </w:pPr>
      <w:r w:rsidRPr="00737683">
        <w:rPr>
          <w:rFonts w:cs="Arial"/>
          <w:sz w:val="20"/>
          <w:szCs w:val="20"/>
        </w:rPr>
        <w:t>Boston, Massachusetts</w:t>
      </w:r>
    </w:p>
    <w:p w14:paraId="061FA31C" w14:textId="7553F566" w:rsidR="0007163A" w:rsidRDefault="0007163A" w:rsidP="0007163A">
      <w:pPr>
        <w:rPr>
          <w:rFonts w:ascii="Calibri" w:eastAsia="Calibri" w:hAnsi="Calibri"/>
          <w:b/>
          <w:iCs/>
          <w:noProof/>
          <w:sz w:val="20"/>
          <w:szCs w:val="20"/>
        </w:rPr>
      </w:pPr>
    </w:p>
    <w:p w14:paraId="1A1D7D1A" w14:textId="306BA0C8" w:rsidR="0007163A" w:rsidRDefault="0007163A" w:rsidP="0007163A">
      <w:pPr>
        <w:rPr>
          <w:rFonts w:ascii="Calibri" w:eastAsia="Calibri" w:hAnsi="Calibri"/>
          <w:b/>
          <w:iCs/>
          <w:noProof/>
          <w:sz w:val="20"/>
          <w:szCs w:val="20"/>
        </w:rPr>
      </w:pPr>
      <w:r w:rsidRPr="0007163A">
        <w:rPr>
          <w:rFonts w:ascii="Calibri" w:eastAsia="Calibri" w:hAnsi="Calibri"/>
          <w:b/>
          <w:iCs/>
          <w:noProof/>
          <w:sz w:val="20"/>
          <w:szCs w:val="20"/>
        </w:rPr>
        <w:t xml:space="preserve">Amanda S. Mixon, M.D., M.S., MSPH, FHM </w:t>
      </w:r>
    </w:p>
    <w:p w14:paraId="2C03E5D5" w14:textId="005A8D3D" w:rsidR="0007163A" w:rsidRPr="00737683" w:rsidRDefault="0007163A" w:rsidP="0007163A">
      <w:pPr>
        <w:rPr>
          <w:rFonts w:ascii="Calibri" w:eastAsia="Calibri" w:hAnsi="Calibri"/>
          <w:iCs/>
          <w:noProof/>
          <w:sz w:val="20"/>
          <w:szCs w:val="20"/>
        </w:rPr>
      </w:pPr>
      <w:r w:rsidRPr="00737683">
        <w:rPr>
          <w:rFonts w:ascii="Calibri" w:eastAsia="Calibri" w:hAnsi="Calibri"/>
          <w:iCs/>
          <w:noProof/>
          <w:sz w:val="20"/>
          <w:szCs w:val="20"/>
        </w:rPr>
        <w:t>Assistant Professor</w:t>
      </w:r>
    </w:p>
    <w:p w14:paraId="2CE91A74" w14:textId="0D9F7CD5" w:rsidR="0007163A" w:rsidRPr="00737683" w:rsidRDefault="00737683" w:rsidP="0007163A">
      <w:pPr>
        <w:rPr>
          <w:rFonts w:ascii="Calibri" w:eastAsia="Calibri" w:hAnsi="Calibri"/>
          <w:iCs/>
          <w:noProof/>
          <w:sz w:val="20"/>
          <w:szCs w:val="20"/>
        </w:rPr>
      </w:pPr>
      <w:r w:rsidRPr="00737683">
        <w:rPr>
          <w:rFonts w:ascii="Calibri" w:eastAsia="Calibri" w:hAnsi="Calibri"/>
          <w:iCs/>
          <w:noProof/>
          <w:sz w:val="20"/>
          <w:szCs w:val="20"/>
        </w:rPr>
        <w:t>Vanderbilt University Medical Center</w:t>
      </w:r>
    </w:p>
    <w:p w14:paraId="227876F3" w14:textId="441F94AA" w:rsidR="00790ED3" w:rsidRPr="00737683" w:rsidRDefault="00737683" w:rsidP="00601D9E">
      <w:pPr>
        <w:rPr>
          <w:rFonts w:ascii="Calibri" w:eastAsia="Calibri" w:hAnsi="Calibri"/>
          <w:noProof/>
          <w:sz w:val="20"/>
          <w:szCs w:val="20"/>
        </w:rPr>
      </w:pPr>
      <w:r w:rsidRPr="00737683">
        <w:rPr>
          <w:rFonts w:ascii="Calibri" w:eastAsia="Calibri" w:hAnsi="Calibri"/>
          <w:iCs/>
          <w:noProof/>
          <w:sz w:val="20"/>
          <w:szCs w:val="20"/>
        </w:rPr>
        <w:t xml:space="preserve">Nashville, Tennessee </w:t>
      </w:r>
    </w:p>
    <w:p w14:paraId="70A70A0E" w14:textId="12625D38" w:rsidR="00B33A2F" w:rsidRDefault="00B33A2F" w:rsidP="00601D9E">
      <w:pPr>
        <w:rPr>
          <w:rFonts w:eastAsia="Calibri"/>
          <w:b/>
          <w:sz w:val="20"/>
          <w:szCs w:val="20"/>
        </w:rPr>
      </w:pPr>
    </w:p>
    <w:p w14:paraId="629EE9A9" w14:textId="0FDB40E6" w:rsidR="00737683" w:rsidRDefault="00737683" w:rsidP="00601D9E">
      <w:pPr>
        <w:rPr>
          <w:rFonts w:eastAsia="Calibri"/>
          <w:b/>
          <w:sz w:val="20"/>
          <w:szCs w:val="20"/>
        </w:rPr>
      </w:pPr>
    </w:p>
    <w:p w14:paraId="69557D9C" w14:textId="5F561500" w:rsidR="00737683" w:rsidRDefault="00737683" w:rsidP="00601D9E">
      <w:pPr>
        <w:rPr>
          <w:rFonts w:eastAsia="Calibri"/>
          <w:b/>
          <w:sz w:val="20"/>
          <w:szCs w:val="20"/>
        </w:rPr>
      </w:pPr>
    </w:p>
    <w:p w14:paraId="0470785F" w14:textId="007BF9D6" w:rsidR="00737683" w:rsidRDefault="00737683" w:rsidP="00601D9E">
      <w:pPr>
        <w:rPr>
          <w:rFonts w:eastAsia="Calibri"/>
          <w:b/>
          <w:sz w:val="20"/>
          <w:szCs w:val="20"/>
        </w:rPr>
      </w:pPr>
    </w:p>
    <w:p w14:paraId="2F2C3EF1" w14:textId="4C3030F8" w:rsidR="00737683" w:rsidRDefault="00737683" w:rsidP="00601D9E">
      <w:pPr>
        <w:rPr>
          <w:rFonts w:eastAsia="Calibri"/>
          <w:b/>
          <w:sz w:val="20"/>
          <w:szCs w:val="20"/>
        </w:rPr>
      </w:pPr>
    </w:p>
    <w:p w14:paraId="6FD38204" w14:textId="3C6EC867" w:rsidR="00737683" w:rsidRDefault="00737683" w:rsidP="00601D9E">
      <w:pPr>
        <w:rPr>
          <w:rFonts w:eastAsia="Calibri"/>
          <w:b/>
          <w:sz w:val="20"/>
          <w:szCs w:val="20"/>
        </w:rPr>
      </w:pPr>
    </w:p>
    <w:p w14:paraId="010AED97" w14:textId="71DA860F" w:rsidR="00737683" w:rsidRDefault="00737683" w:rsidP="00601D9E">
      <w:pPr>
        <w:rPr>
          <w:rFonts w:eastAsia="Calibri"/>
          <w:b/>
          <w:sz w:val="20"/>
          <w:szCs w:val="20"/>
        </w:rPr>
      </w:pPr>
    </w:p>
    <w:p w14:paraId="6755D2D3" w14:textId="49AF456D" w:rsidR="00737683" w:rsidRDefault="00737683" w:rsidP="00601D9E">
      <w:pPr>
        <w:rPr>
          <w:rFonts w:eastAsia="Calibri"/>
          <w:b/>
          <w:sz w:val="20"/>
          <w:szCs w:val="20"/>
        </w:rPr>
      </w:pPr>
    </w:p>
    <w:p w14:paraId="640749CD" w14:textId="47F32884" w:rsidR="00737683" w:rsidRDefault="00737683" w:rsidP="00601D9E">
      <w:pPr>
        <w:rPr>
          <w:rFonts w:eastAsia="Calibri"/>
          <w:b/>
          <w:sz w:val="20"/>
          <w:szCs w:val="20"/>
        </w:rPr>
      </w:pPr>
    </w:p>
    <w:p w14:paraId="56662778" w14:textId="4DA264DE" w:rsidR="00737683" w:rsidRDefault="00737683" w:rsidP="00601D9E">
      <w:pPr>
        <w:rPr>
          <w:rFonts w:eastAsia="Calibri"/>
          <w:b/>
          <w:sz w:val="20"/>
          <w:szCs w:val="20"/>
        </w:rPr>
      </w:pPr>
    </w:p>
    <w:p w14:paraId="6A047841" w14:textId="463233F6" w:rsidR="00737683" w:rsidRDefault="00737683" w:rsidP="00601D9E">
      <w:pPr>
        <w:rPr>
          <w:rFonts w:eastAsia="Calibri"/>
          <w:b/>
          <w:sz w:val="20"/>
          <w:szCs w:val="20"/>
        </w:rPr>
      </w:pPr>
    </w:p>
    <w:p w14:paraId="0F002CC0" w14:textId="52930CF8" w:rsidR="00737683" w:rsidRDefault="00737683" w:rsidP="00601D9E">
      <w:pPr>
        <w:rPr>
          <w:rFonts w:eastAsia="Calibri"/>
          <w:b/>
          <w:sz w:val="20"/>
          <w:szCs w:val="20"/>
        </w:rPr>
      </w:pPr>
    </w:p>
    <w:p w14:paraId="6E655571" w14:textId="675491C2" w:rsidR="00737683" w:rsidRDefault="00737683" w:rsidP="00601D9E">
      <w:pPr>
        <w:rPr>
          <w:rFonts w:eastAsia="Calibri"/>
          <w:b/>
          <w:sz w:val="20"/>
          <w:szCs w:val="20"/>
        </w:rPr>
      </w:pPr>
    </w:p>
    <w:p w14:paraId="3268A109" w14:textId="1C36558C" w:rsidR="00737683" w:rsidRDefault="00737683" w:rsidP="00601D9E">
      <w:pPr>
        <w:rPr>
          <w:rFonts w:eastAsia="Calibri"/>
          <w:b/>
          <w:sz w:val="20"/>
          <w:szCs w:val="20"/>
        </w:rPr>
      </w:pPr>
    </w:p>
    <w:p w14:paraId="6B7C8A16" w14:textId="75C9E235" w:rsidR="00737683" w:rsidRDefault="00737683" w:rsidP="00601D9E">
      <w:pPr>
        <w:rPr>
          <w:rFonts w:eastAsia="Calibri"/>
          <w:b/>
          <w:sz w:val="20"/>
          <w:szCs w:val="20"/>
        </w:rPr>
      </w:pPr>
    </w:p>
    <w:p w14:paraId="5CF7F01B" w14:textId="2D91D4BD" w:rsidR="00737683" w:rsidRDefault="00737683" w:rsidP="00601D9E">
      <w:pPr>
        <w:rPr>
          <w:rFonts w:eastAsia="Calibri"/>
          <w:b/>
          <w:sz w:val="20"/>
          <w:szCs w:val="20"/>
        </w:rPr>
      </w:pPr>
    </w:p>
    <w:p w14:paraId="4E9B32AC" w14:textId="646AEDEF" w:rsidR="00737683" w:rsidRDefault="00737683" w:rsidP="00601D9E">
      <w:pPr>
        <w:rPr>
          <w:rFonts w:eastAsia="Calibri"/>
          <w:b/>
          <w:sz w:val="20"/>
          <w:szCs w:val="20"/>
        </w:rPr>
      </w:pPr>
    </w:p>
    <w:p w14:paraId="7536DE09" w14:textId="5543818D" w:rsidR="00737683" w:rsidRDefault="00737683" w:rsidP="00601D9E">
      <w:pPr>
        <w:rPr>
          <w:rFonts w:eastAsia="Calibri"/>
          <w:b/>
          <w:sz w:val="20"/>
          <w:szCs w:val="20"/>
        </w:rPr>
      </w:pPr>
    </w:p>
    <w:p w14:paraId="19CDD31E" w14:textId="39B9BAE1" w:rsidR="00737683" w:rsidRDefault="00737683" w:rsidP="00601D9E">
      <w:pPr>
        <w:rPr>
          <w:rFonts w:eastAsia="Calibri"/>
          <w:b/>
          <w:sz w:val="20"/>
          <w:szCs w:val="20"/>
        </w:rPr>
      </w:pPr>
    </w:p>
    <w:p w14:paraId="2543296C" w14:textId="0F31A5A4" w:rsidR="00737683" w:rsidRDefault="00737683" w:rsidP="00601D9E">
      <w:pPr>
        <w:rPr>
          <w:rFonts w:eastAsia="Calibri"/>
          <w:b/>
          <w:sz w:val="20"/>
          <w:szCs w:val="20"/>
        </w:rPr>
      </w:pPr>
    </w:p>
    <w:p w14:paraId="7EAC4A1C" w14:textId="77D59424" w:rsidR="00737683" w:rsidRDefault="00737683" w:rsidP="00601D9E">
      <w:pPr>
        <w:rPr>
          <w:rFonts w:eastAsia="Calibri"/>
          <w:b/>
          <w:sz w:val="20"/>
          <w:szCs w:val="20"/>
        </w:rPr>
      </w:pPr>
    </w:p>
    <w:p w14:paraId="57A12648" w14:textId="5785A134" w:rsidR="00737683" w:rsidRDefault="00737683" w:rsidP="00601D9E">
      <w:pPr>
        <w:rPr>
          <w:rFonts w:eastAsia="Calibri"/>
          <w:b/>
          <w:sz w:val="20"/>
          <w:szCs w:val="20"/>
        </w:rPr>
      </w:pPr>
    </w:p>
    <w:p w14:paraId="3C861AFD" w14:textId="33EC96C5" w:rsidR="00737683" w:rsidRDefault="00737683" w:rsidP="00601D9E">
      <w:pPr>
        <w:rPr>
          <w:rFonts w:eastAsia="Calibri"/>
          <w:b/>
          <w:sz w:val="20"/>
          <w:szCs w:val="20"/>
        </w:rPr>
      </w:pPr>
    </w:p>
    <w:p w14:paraId="1660CDF9" w14:textId="0CB0BC82" w:rsidR="00737683" w:rsidRDefault="00737683" w:rsidP="00601D9E">
      <w:pPr>
        <w:rPr>
          <w:rFonts w:eastAsia="Calibri"/>
          <w:b/>
          <w:sz w:val="20"/>
          <w:szCs w:val="20"/>
        </w:rPr>
      </w:pPr>
    </w:p>
    <w:p w14:paraId="733C8677" w14:textId="0C14FCC3" w:rsidR="00737683" w:rsidRDefault="00737683" w:rsidP="00601D9E">
      <w:pPr>
        <w:rPr>
          <w:rFonts w:eastAsia="Calibri"/>
          <w:b/>
          <w:sz w:val="20"/>
          <w:szCs w:val="20"/>
        </w:rPr>
      </w:pPr>
    </w:p>
    <w:p w14:paraId="1C3189C7" w14:textId="58E07A34" w:rsidR="00737683" w:rsidRDefault="00737683" w:rsidP="00601D9E">
      <w:pPr>
        <w:rPr>
          <w:rFonts w:eastAsia="Calibri"/>
          <w:b/>
          <w:sz w:val="20"/>
          <w:szCs w:val="20"/>
        </w:rPr>
      </w:pPr>
    </w:p>
    <w:p w14:paraId="36BCF349" w14:textId="642AA256" w:rsidR="00737683" w:rsidRDefault="00737683" w:rsidP="00601D9E">
      <w:pPr>
        <w:rPr>
          <w:rFonts w:eastAsia="Calibri"/>
          <w:b/>
          <w:sz w:val="20"/>
          <w:szCs w:val="20"/>
        </w:rPr>
      </w:pPr>
    </w:p>
    <w:p w14:paraId="52A2B67A" w14:textId="41FEC052" w:rsidR="00737683" w:rsidRDefault="00737683" w:rsidP="00601D9E">
      <w:pPr>
        <w:rPr>
          <w:rFonts w:eastAsia="Calibri"/>
          <w:b/>
          <w:sz w:val="20"/>
          <w:szCs w:val="20"/>
        </w:rPr>
      </w:pPr>
    </w:p>
    <w:p w14:paraId="6524ED38" w14:textId="518B5248" w:rsidR="00737683" w:rsidRDefault="00737683" w:rsidP="00601D9E">
      <w:pPr>
        <w:rPr>
          <w:rFonts w:eastAsia="Calibri"/>
          <w:b/>
          <w:sz w:val="20"/>
          <w:szCs w:val="20"/>
        </w:rPr>
      </w:pPr>
    </w:p>
    <w:p w14:paraId="68E062FB" w14:textId="5A956534" w:rsidR="00737683" w:rsidRDefault="00737683" w:rsidP="00601D9E">
      <w:pPr>
        <w:rPr>
          <w:rFonts w:eastAsia="Calibri"/>
          <w:b/>
          <w:sz w:val="20"/>
          <w:szCs w:val="20"/>
        </w:rPr>
      </w:pPr>
    </w:p>
    <w:p w14:paraId="30585B33" w14:textId="7CF90935" w:rsidR="00737683" w:rsidRDefault="00737683" w:rsidP="00601D9E">
      <w:pPr>
        <w:rPr>
          <w:rFonts w:eastAsia="Calibri"/>
          <w:b/>
          <w:sz w:val="20"/>
          <w:szCs w:val="20"/>
        </w:rPr>
      </w:pPr>
    </w:p>
    <w:p w14:paraId="78E31F9A" w14:textId="1A42F1B5" w:rsidR="00737683" w:rsidRDefault="00737683" w:rsidP="00601D9E">
      <w:pPr>
        <w:rPr>
          <w:rFonts w:eastAsia="Calibri"/>
          <w:b/>
          <w:sz w:val="20"/>
          <w:szCs w:val="20"/>
        </w:rPr>
      </w:pPr>
    </w:p>
    <w:p w14:paraId="153F76C9" w14:textId="5691BFEF" w:rsidR="00737683" w:rsidRDefault="00737683" w:rsidP="00601D9E">
      <w:pPr>
        <w:rPr>
          <w:rFonts w:eastAsia="Calibri"/>
          <w:b/>
          <w:sz w:val="20"/>
          <w:szCs w:val="20"/>
        </w:rPr>
      </w:pPr>
    </w:p>
    <w:p w14:paraId="307D10A9" w14:textId="77777777" w:rsidR="00737683" w:rsidRDefault="00737683" w:rsidP="00601D9E">
      <w:pPr>
        <w:rPr>
          <w:rFonts w:eastAsia="Calibri"/>
          <w:b/>
          <w:sz w:val="20"/>
          <w:szCs w:val="20"/>
        </w:rPr>
      </w:pPr>
    </w:p>
    <w:p w14:paraId="73A1606C" w14:textId="22B13317" w:rsidR="005E7F4C" w:rsidRPr="00E20FE3" w:rsidRDefault="00592792" w:rsidP="0006547D">
      <w:pPr>
        <w:rPr>
          <w:rFonts w:eastAsia="Calibri"/>
          <w:sz w:val="20"/>
          <w:szCs w:val="20"/>
        </w:rPr>
      </w:pPr>
      <w:r>
        <w:rPr>
          <w:rFonts w:eastAsia="Calibri"/>
          <w:b/>
          <w:sz w:val="20"/>
          <w:szCs w:val="20"/>
        </w:rPr>
        <w:br w:type="column"/>
      </w:r>
      <w:r w:rsidR="005E7F4C" w:rsidRPr="00E20FE3">
        <w:rPr>
          <w:rFonts w:eastAsia="Calibri"/>
          <w:sz w:val="20"/>
          <w:szCs w:val="20"/>
        </w:rPr>
        <w:t xml:space="preserve"> </w:t>
      </w:r>
    </w:p>
    <w:p w14:paraId="66E46504" w14:textId="77777777" w:rsidR="00592792" w:rsidRDefault="00592792" w:rsidP="00601D9E">
      <w:pPr>
        <w:rPr>
          <w:rFonts w:eastAsia="Calibri"/>
          <w:b/>
          <w:sz w:val="20"/>
          <w:szCs w:val="20"/>
        </w:rPr>
        <w:sectPr w:rsidR="00592792" w:rsidSect="00592792">
          <w:type w:val="continuous"/>
          <w:pgSz w:w="12240" w:h="15840"/>
          <w:pgMar w:top="1440" w:right="1440" w:bottom="1440" w:left="1440" w:header="720" w:footer="720" w:gutter="0"/>
          <w:cols w:num="2" w:space="720"/>
          <w:docGrid w:linePitch="360"/>
        </w:sectPr>
      </w:pPr>
    </w:p>
    <w:p w14:paraId="5BB66B62" w14:textId="6DC63E51" w:rsidR="00E84F5A" w:rsidRDefault="00E84F5A" w:rsidP="00601D9E">
      <w:pPr>
        <w:rPr>
          <w:b/>
          <w:color w:val="000099"/>
          <w:sz w:val="24"/>
        </w:rPr>
        <w:sectPr w:rsidR="00E84F5A" w:rsidSect="005B006E">
          <w:type w:val="continuous"/>
          <w:pgSz w:w="12240" w:h="15840"/>
          <w:pgMar w:top="1440" w:right="1440" w:bottom="1440" w:left="1440" w:header="720" w:footer="720" w:gutter="0"/>
          <w:cols w:space="720"/>
          <w:docGrid w:linePitch="360"/>
        </w:sectPr>
      </w:pPr>
    </w:p>
    <w:p w14:paraId="56C97033" w14:textId="4C475DBE" w:rsidR="00BD6CB1" w:rsidRDefault="00BD6CB1" w:rsidP="00601D9E">
      <w:pPr>
        <w:pBdr>
          <w:bottom w:val="single" w:sz="6" w:space="1" w:color="auto"/>
        </w:pBdr>
        <w:rPr>
          <w:b/>
          <w:color w:val="000099"/>
          <w:sz w:val="24"/>
        </w:rPr>
      </w:pPr>
      <w:r>
        <w:rPr>
          <w:b/>
          <w:color w:val="000099"/>
          <w:sz w:val="24"/>
        </w:rPr>
        <w:lastRenderedPageBreak/>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E7A6088" w14:textId="77777777" w:rsidR="00DC08E6" w:rsidRPr="00B67DB1" w:rsidRDefault="00DC08E6" w:rsidP="00DC08E6">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44D976A9" w14:textId="77777777" w:rsidR="005B006E" w:rsidRDefault="005B006E" w:rsidP="005B006E">
      <w:pPr>
        <w:pBdr>
          <w:bottom w:val="single" w:sz="4" w:space="1" w:color="auto"/>
        </w:pBdr>
        <w:rPr>
          <w:b/>
          <w:color w:val="000099"/>
          <w:sz w:val="24"/>
        </w:rPr>
      </w:pPr>
      <w:r w:rsidRPr="00B254E0">
        <w:rPr>
          <w:b/>
          <w:color w:val="000099"/>
          <w:sz w:val="24"/>
        </w:rPr>
        <w:t>Methods and CE Requirements</w:t>
      </w:r>
    </w:p>
    <w:p w14:paraId="01B8F247" w14:textId="77777777" w:rsidR="00EF52A9" w:rsidRPr="004335EB" w:rsidRDefault="00EF52A9" w:rsidP="004335EB">
      <w:pPr>
        <w:rPr>
          <w:sz w:val="20"/>
          <w:szCs w:val="20"/>
        </w:rPr>
      </w:pPr>
    </w:p>
    <w:p w14:paraId="06F08612" w14:textId="3C9C688A" w:rsidR="004335EB" w:rsidRPr="00737683" w:rsidRDefault="004335EB" w:rsidP="00B254E0">
      <w:pPr>
        <w:rPr>
          <w:rFonts w:cstheme="minorHAnsi"/>
          <w:bCs/>
          <w:sz w:val="20"/>
        </w:rPr>
      </w:pPr>
      <w:r w:rsidRPr="00737683">
        <w:rPr>
          <w:rFonts w:cstheme="minorHAnsi"/>
          <w:bCs/>
          <w:sz w:val="20"/>
        </w:rPr>
        <w:t xml:space="preserve">This online activity consists of a combined total of </w:t>
      </w:r>
      <w:r w:rsidR="00737683" w:rsidRPr="00737683">
        <w:rPr>
          <w:rFonts w:cstheme="minorHAnsi"/>
          <w:bCs/>
          <w:sz w:val="20"/>
        </w:rPr>
        <w:t>7</w:t>
      </w:r>
      <w:r w:rsidRPr="00737683">
        <w:rPr>
          <w:rFonts w:cstheme="minorHAnsi"/>
          <w:bCs/>
          <w:sz w:val="20"/>
        </w:rPr>
        <w:t xml:space="preserve"> learning modules. Pharmacists</w:t>
      </w:r>
      <w:r w:rsidR="00737683" w:rsidRPr="00737683">
        <w:rPr>
          <w:rFonts w:cstheme="minorHAnsi"/>
          <w:bCs/>
          <w:sz w:val="20"/>
        </w:rPr>
        <w:t xml:space="preserve"> and pharmacy technicians</w:t>
      </w:r>
      <w:r w:rsidRPr="00737683">
        <w:rPr>
          <w:rFonts w:cstheme="minorHAnsi"/>
          <w:bCs/>
          <w:sz w:val="20"/>
        </w:rPr>
        <w:t xml:space="preserve"> are eligible to receive a total of </w:t>
      </w:r>
      <w:r w:rsidR="00737683" w:rsidRPr="00737683">
        <w:rPr>
          <w:rFonts w:cstheme="minorHAnsi"/>
          <w:bCs/>
          <w:sz w:val="20"/>
        </w:rPr>
        <w:t>1</w:t>
      </w:r>
      <w:r w:rsidRPr="00737683">
        <w:rPr>
          <w:rFonts w:cstheme="minorHAnsi"/>
          <w:bCs/>
          <w:sz w:val="20"/>
        </w:rPr>
        <w:t xml:space="preserve">5 hours of continuing education credit by completing all </w:t>
      </w:r>
      <w:r w:rsidR="00737683" w:rsidRPr="00737683">
        <w:rPr>
          <w:rFonts w:cstheme="minorHAnsi"/>
          <w:bCs/>
          <w:sz w:val="20"/>
        </w:rPr>
        <w:t>7</w:t>
      </w:r>
      <w:r w:rsidRPr="00737683">
        <w:rPr>
          <w:rFonts w:cstheme="minorHAnsi"/>
          <w:bCs/>
          <w:sz w:val="20"/>
        </w:rPr>
        <w:t xml:space="preserve"> modules within this certificate program.</w:t>
      </w:r>
    </w:p>
    <w:p w14:paraId="54540A46" w14:textId="77777777" w:rsidR="004335EB" w:rsidRPr="00737683"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737683">
        <w:rPr>
          <w:rFonts w:cstheme="minorHAnsi"/>
          <w:bCs/>
          <w:sz w:val="20"/>
        </w:rPr>
        <w:t>Participants must participate in the entire activity, complete the evaluation and all required components to claim continuing pharmacy education credit online at ASHP eLearning</w:t>
      </w:r>
      <w:r w:rsidRPr="00B254E0">
        <w:rPr>
          <w:rFonts w:cstheme="minorHAnsi"/>
          <w:bCs/>
          <w:sz w:val="20"/>
        </w:rPr>
        <w:t xml:space="preserve"> Portal (</w:t>
      </w:r>
      <w:hyperlink r:id="rId12">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3"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71CD8D2C"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853B94">
      <w:rPr>
        <w:noProof/>
        <w:sz w:val="18"/>
      </w:rPr>
      <w:t>5</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C2C4E"/>
    <w:multiLevelType w:val="hybridMultilevel"/>
    <w:tmpl w:val="E96088E0"/>
    <w:lvl w:ilvl="0" w:tplc="640C81AE">
      <w:start w:val="1"/>
      <w:numFmt w:val="bullet"/>
      <w:lvlText w:val=""/>
      <w:lvlJc w:val="left"/>
      <w:pPr>
        <w:tabs>
          <w:tab w:val="num" w:pos="720"/>
        </w:tabs>
        <w:ind w:left="720" w:hanging="360"/>
      </w:pPr>
      <w:rPr>
        <w:rFonts w:ascii="Wingdings" w:hAnsi="Wingdings" w:hint="default"/>
      </w:rPr>
    </w:lvl>
    <w:lvl w:ilvl="1" w:tplc="7FECF196" w:tentative="1">
      <w:start w:val="1"/>
      <w:numFmt w:val="bullet"/>
      <w:lvlText w:val=""/>
      <w:lvlJc w:val="left"/>
      <w:pPr>
        <w:tabs>
          <w:tab w:val="num" w:pos="1440"/>
        </w:tabs>
        <w:ind w:left="1440" w:hanging="360"/>
      </w:pPr>
      <w:rPr>
        <w:rFonts w:ascii="Wingdings" w:hAnsi="Wingdings" w:hint="default"/>
      </w:rPr>
    </w:lvl>
    <w:lvl w:ilvl="2" w:tplc="BA3E81C8" w:tentative="1">
      <w:start w:val="1"/>
      <w:numFmt w:val="bullet"/>
      <w:lvlText w:val=""/>
      <w:lvlJc w:val="left"/>
      <w:pPr>
        <w:tabs>
          <w:tab w:val="num" w:pos="2160"/>
        </w:tabs>
        <w:ind w:left="2160" w:hanging="360"/>
      </w:pPr>
      <w:rPr>
        <w:rFonts w:ascii="Wingdings" w:hAnsi="Wingdings" w:hint="default"/>
      </w:rPr>
    </w:lvl>
    <w:lvl w:ilvl="3" w:tplc="60B45B7C" w:tentative="1">
      <w:start w:val="1"/>
      <w:numFmt w:val="bullet"/>
      <w:lvlText w:val=""/>
      <w:lvlJc w:val="left"/>
      <w:pPr>
        <w:tabs>
          <w:tab w:val="num" w:pos="2880"/>
        </w:tabs>
        <w:ind w:left="2880" w:hanging="360"/>
      </w:pPr>
      <w:rPr>
        <w:rFonts w:ascii="Wingdings" w:hAnsi="Wingdings" w:hint="default"/>
      </w:rPr>
    </w:lvl>
    <w:lvl w:ilvl="4" w:tplc="02E8D618" w:tentative="1">
      <w:start w:val="1"/>
      <w:numFmt w:val="bullet"/>
      <w:lvlText w:val=""/>
      <w:lvlJc w:val="left"/>
      <w:pPr>
        <w:tabs>
          <w:tab w:val="num" w:pos="3600"/>
        </w:tabs>
        <w:ind w:left="3600" w:hanging="360"/>
      </w:pPr>
      <w:rPr>
        <w:rFonts w:ascii="Wingdings" w:hAnsi="Wingdings" w:hint="default"/>
      </w:rPr>
    </w:lvl>
    <w:lvl w:ilvl="5" w:tplc="FCF61F9C" w:tentative="1">
      <w:start w:val="1"/>
      <w:numFmt w:val="bullet"/>
      <w:lvlText w:val=""/>
      <w:lvlJc w:val="left"/>
      <w:pPr>
        <w:tabs>
          <w:tab w:val="num" w:pos="4320"/>
        </w:tabs>
        <w:ind w:left="4320" w:hanging="360"/>
      </w:pPr>
      <w:rPr>
        <w:rFonts w:ascii="Wingdings" w:hAnsi="Wingdings" w:hint="default"/>
      </w:rPr>
    </w:lvl>
    <w:lvl w:ilvl="6" w:tplc="1084E966" w:tentative="1">
      <w:start w:val="1"/>
      <w:numFmt w:val="bullet"/>
      <w:lvlText w:val=""/>
      <w:lvlJc w:val="left"/>
      <w:pPr>
        <w:tabs>
          <w:tab w:val="num" w:pos="5040"/>
        </w:tabs>
        <w:ind w:left="5040" w:hanging="360"/>
      </w:pPr>
      <w:rPr>
        <w:rFonts w:ascii="Wingdings" w:hAnsi="Wingdings" w:hint="default"/>
      </w:rPr>
    </w:lvl>
    <w:lvl w:ilvl="7" w:tplc="8018BCFA" w:tentative="1">
      <w:start w:val="1"/>
      <w:numFmt w:val="bullet"/>
      <w:lvlText w:val=""/>
      <w:lvlJc w:val="left"/>
      <w:pPr>
        <w:tabs>
          <w:tab w:val="num" w:pos="5760"/>
        </w:tabs>
        <w:ind w:left="5760" w:hanging="360"/>
      </w:pPr>
      <w:rPr>
        <w:rFonts w:ascii="Wingdings" w:hAnsi="Wingdings" w:hint="default"/>
      </w:rPr>
    </w:lvl>
    <w:lvl w:ilvl="8" w:tplc="755E090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33153"/>
    <w:multiLevelType w:val="hybridMultilevel"/>
    <w:tmpl w:val="6BA2BE46"/>
    <w:lvl w:ilvl="0" w:tplc="2612CB5C">
      <w:start w:val="1"/>
      <w:numFmt w:val="decimal"/>
      <w:lvlText w:val="%1."/>
      <w:lvlJc w:val="left"/>
      <w:pPr>
        <w:ind w:left="720" w:hanging="360"/>
      </w:pPr>
      <w:rPr>
        <w:rFonts w:hint="default"/>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2"/>
  </w:num>
  <w:num w:numId="4">
    <w:abstractNumId w:val="29"/>
  </w:num>
  <w:num w:numId="5">
    <w:abstractNumId w:val="22"/>
  </w:num>
  <w:num w:numId="6">
    <w:abstractNumId w:val="7"/>
  </w:num>
  <w:num w:numId="7">
    <w:abstractNumId w:val="25"/>
  </w:num>
  <w:num w:numId="8">
    <w:abstractNumId w:val="33"/>
  </w:num>
  <w:num w:numId="9">
    <w:abstractNumId w:val="0"/>
  </w:num>
  <w:num w:numId="10">
    <w:abstractNumId w:val="28"/>
  </w:num>
  <w:num w:numId="11">
    <w:abstractNumId w:val="9"/>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1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662F"/>
    <w:rsid w:val="00022087"/>
    <w:rsid w:val="00023807"/>
    <w:rsid w:val="000260A6"/>
    <w:rsid w:val="000334A2"/>
    <w:rsid w:val="0006547D"/>
    <w:rsid w:val="0007163A"/>
    <w:rsid w:val="00080FE5"/>
    <w:rsid w:val="000A5001"/>
    <w:rsid w:val="000B3A88"/>
    <w:rsid w:val="000C0738"/>
    <w:rsid w:val="000C7193"/>
    <w:rsid w:val="000D2BC5"/>
    <w:rsid w:val="000D6C1A"/>
    <w:rsid w:val="000E00D4"/>
    <w:rsid w:val="000F030A"/>
    <w:rsid w:val="000F7755"/>
    <w:rsid w:val="00124F1F"/>
    <w:rsid w:val="0012640B"/>
    <w:rsid w:val="00135727"/>
    <w:rsid w:val="00157A19"/>
    <w:rsid w:val="00160029"/>
    <w:rsid w:val="00185384"/>
    <w:rsid w:val="00186128"/>
    <w:rsid w:val="0019358F"/>
    <w:rsid w:val="00195A03"/>
    <w:rsid w:val="001B7C7B"/>
    <w:rsid w:val="001C6D8E"/>
    <w:rsid w:val="001D54A3"/>
    <w:rsid w:val="001E36A3"/>
    <w:rsid w:val="002025D7"/>
    <w:rsid w:val="00214733"/>
    <w:rsid w:val="0022335C"/>
    <w:rsid w:val="00242B50"/>
    <w:rsid w:val="00251791"/>
    <w:rsid w:val="00293C0C"/>
    <w:rsid w:val="002A64A4"/>
    <w:rsid w:val="002B2DD0"/>
    <w:rsid w:val="002C3E60"/>
    <w:rsid w:val="002C64AB"/>
    <w:rsid w:val="002D357B"/>
    <w:rsid w:val="00303D59"/>
    <w:rsid w:val="00306866"/>
    <w:rsid w:val="00311196"/>
    <w:rsid w:val="00312100"/>
    <w:rsid w:val="00341178"/>
    <w:rsid w:val="00342E1F"/>
    <w:rsid w:val="00350B47"/>
    <w:rsid w:val="003720D7"/>
    <w:rsid w:val="00380A3F"/>
    <w:rsid w:val="003B75F4"/>
    <w:rsid w:val="003C6035"/>
    <w:rsid w:val="003E4C01"/>
    <w:rsid w:val="003F4C82"/>
    <w:rsid w:val="00401E9B"/>
    <w:rsid w:val="0041030C"/>
    <w:rsid w:val="004150EC"/>
    <w:rsid w:val="00415C78"/>
    <w:rsid w:val="00425B98"/>
    <w:rsid w:val="004335EB"/>
    <w:rsid w:val="00436FFE"/>
    <w:rsid w:val="00461C6A"/>
    <w:rsid w:val="00465BAD"/>
    <w:rsid w:val="00474CD2"/>
    <w:rsid w:val="00492840"/>
    <w:rsid w:val="00495032"/>
    <w:rsid w:val="004977A6"/>
    <w:rsid w:val="004A53E0"/>
    <w:rsid w:val="004C6E38"/>
    <w:rsid w:val="004C7FE8"/>
    <w:rsid w:val="004D2602"/>
    <w:rsid w:val="004D2D39"/>
    <w:rsid w:val="004D441F"/>
    <w:rsid w:val="004F04F2"/>
    <w:rsid w:val="004F2F67"/>
    <w:rsid w:val="005059C8"/>
    <w:rsid w:val="005116D0"/>
    <w:rsid w:val="005132BC"/>
    <w:rsid w:val="00514C3A"/>
    <w:rsid w:val="005515A9"/>
    <w:rsid w:val="0056656E"/>
    <w:rsid w:val="005733C0"/>
    <w:rsid w:val="0057383A"/>
    <w:rsid w:val="00575F5F"/>
    <w:rsid w:val="005914D4"/>
    <w:rsid w:val="00592792"/>
    <w:rsid w:val="00593CAF"/>
    <w:rsid w:val="005A3920"/>
    <w:rsid w:val="005B006E"/>
    <w:rsid w:val="005B33B1"/>
    <w:rsid w:val="005B471C"/>
    <w:rsid w:val="005B7B11"/>
    <w:rsid w:val="005C132F"/>
    <w:rsid w:val="005C7F42"/>
    <w:rsid w:val="005D5326"/>
    <w:rsid w:val="005D6810"/>
    <w:rsid w:val="005D78EA"/>
    <w:rsid w:val="005E6078"/>
    <w:rsid w:val="005E7F4C"/>
    <w:rsid w:val="00601D9E"/>
    <w:rsid w:val="00610287"/>
    <w:rsid w:val="006161CA"/>
    <w:rsid w:val="006178CF"/>
    <w:rsid w:val="006A6B5A"/>
    <w:rsid w:val="006B1040"/>
    <w:rsid w:val="006B6C7C"/>
    <w:rsid w:val="006C1B3B"/>
    <w:rsid w:val="006C577E"/>
    <w:rsid w:val="006C60E5"/>
    <w:rsid w:val="006C6300"/>
    <w:rsid w:val="006D2AFB"/>
    <w:rsid w:val="006E2941"/>
    <w:rsid w:val="0070410E"/>
    <w:rsid w:val="00710D50"/>
    <w:rsid w:val="00723ACF"/>
    <w:rsid w:val="00727C5A"/>
    <w:rsid w:val="00727E37"/>
    <w:rsid w:val="00730ED3"/>
    <w:rsid w:val="00737683"/>
    <w:rsid w:val="0074681A"/>
    <w:rsid w:val="007714B8"/>
    <w:rsid w:val="00773422"/>
    <w:rsid w:val="00790ED3"/>
    <w:rsid w:val="00791750"/>
    <w:rsid w:val="00791876"/>
    <w:rsid w:val="007A2551"/>
    <w:rsid w:val="007A5F5C"/>
    <w:rsid w:val="007A66D6"/>
    <w:rsid w:val="007B775B"/>
    <w:rsid w:val="007C0230"/>
    <w:rsid w:val="007C0DD9"/>
    <w:rsid w:val="007C363A"/>
    <w:rsid w:val="007C4F00"/>
    <w:rsid w:val="007D6BE2"/>
    <w:rsid w:val="007E0378"/>
    <w:rsid w:val="007E1E9C"/>
    <w:rsid w:val="007F3A70"/>
    <w:rsid w:val="00802F5C"/>
    <w:rsid w:val="008160D7"/>
    <w:rsid w:val="00823530"/>
    <w:rsid w:val="00830D05"/>
    <w:rsid w:val="008406E5"/>
    <w:rsid w:val="00852E38"/>
    <w:rsid w:val="00853B94"/>
    <w:rsid w:val="00860EE8"/>
    <w:rsid w:val="00870482"/>
    <w:rsid w:val="008A5926"/>
    <w:rsid w:val="008A6581"/>
    <w:rsid w:val="008B7127"/>
    <w:rsid w:val="008C38FC"/>
    <w:rsid w:val="008D02AA"/>
    <w:rsid w:val="008D39EB"/>
    <w:rsid w:val="008F54A4"/>
    <w:rsid w:val="00913422"/>
    <w:rsid w:val="00913563"/>
    <w:rsid w:val="009364C2"/>
    <w:rsid w:val="00943548"/>
    <w:rsid w:val="00956007"/>
    <w:rsid w:val="009702F1"/>
    <w:rsid w:val="00974AC1"/>
    <w:rsid w:val="00985344"/>
    <w:rsid w:val="00995C37"/>
    <w:rsid w:val="009A2FAF"/>
    <w:rsid w:val="009A3930"/>
    <w:rsid w:val="009C6C97"/>
    <w:rsid w:val="009D3012"/>
    <w:rsid w:val="009E238B"/>
    <w:rsid w:val="009F138E"/>
    <w:rsid w:val="00A02575"/>
    <w:rsid w:val="00A02D70"/>
    <w:rsid w:val="00A278BB"/>
    <w:rsid w:val="00A27BA5"/>
    <w:rsid w:val="00A509D9"/>
    <w:rsid w:val="00AA7F23"/>
    <w:rsid w:val="00AB1B0F"/>
    <w:rsid w:val="00AB332B"/>
    <w:rsid w:val="00AF1F51"/>
    <w:rsid w:val="00B07D78"/>
    <w:rsid w:val="00B17A48"/>
    <w:rsid w:val="00B17B68"/>
    <w:rsid w:val="00B2472D"/>
    <w:rsid w:val="00B254E0"/>
    <w:rsid w:val="00B30D9C"/>
    <w:rsid w:val="00B33A2F"/>
    <w:rsid w:val="00B35473"/>
    <w:rsid w:val="00B53CF6"/>
    <w:rsid w:val="00B54D60"/>
    <w:rsid w:val="00B65FD5"/>
    <w:rsid w:val="00B71201"/>
    <w:rsid w:val="00B72073"/>
    <w:rsid w:val="00B76E21"/>
    <w:rsid w:val="00B8282A"/>
    <w:rsid w:val="00BA609D"/>
    <w:rsid w:val="00BB15F0"/>
    <w:rsid w:val="00BD6CB1"/>
    <w:rsid w:val="00C24FE8"/>
    <w:rsid w:val="00C255E6"/>
    <w:rsid w:val="00C35552"/>
    <w:rsid w:val="00C830E0"/>
    <w:rsid w:val="00CB47B3"/>
    <w:rsid w:val="00CE7F40"/>
    <w:rsid w:val="00CF33DB"/>
    <w:rsid w:val="00CF62E9"/>
    <w:rsid w:val="00D04C37"/>
    <w:rsid w:val="00D23079"/>
    <w:rsid w:val="00D328A8"/>
    <w:rsid w:val="00D34BFD"/>
    <w:rsid w:val="00D40431"/>
    <w:rsid w:val="00D722F5"/>
    <w:rsid w:val="00D923DE"/>
    <w:rsid w:val="00DA6655"/>
    <w:rsid w:val="00DB6207"/>
    <w:rsid w:val="00DC08E6"/>
    <w:rsid w:val="00DD1CBD"/>
    <w:rsid w:val="00DE5B86"/>
    <w:rsid w:val="00E20FE3"/>
    <w:rsid w:val="00E236F0"/>
    <w:rsid w:val="00E637E9"/>
    <w:rsid w:val="00E772F6"/>
    <w:rsid w:val="00E84F5A"/>
    <w:rsid w:val="00E95B30"/>
    <w:rsid w:val="00EA3CE3"/>
    <w:rsid w:val="00EC4F90"/>
    <w:rsid w:val="00EF268B"/>
    <w:rsid w:val="00EF52A9"/>
    <w:rsid w:val="00EF6AA4"/>
    <w:rsid w:val="00F05A3C"/>
    <w:rsid w:val="00F21B51"/>
    <w:rsid w:val="00F3041C"/>
    <w:rsid w:val="00F3086D"/>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7327">
      <w:bodyDiv w:val="1"/>
      <w:marLeft w:val="0"/>
      <w:marRight w:val="0"/>
      <w:marTop w:val="0"/>
      <w:marBottom w:val="0"/>
      <w:divBdr>
        <w:top w:val="none" w:sz="0" w:space="0" w:color="auto"/>
        <w:left w:val="none" w:sz="0" w:space="0" w:color="auto"/>
        <w:bottom w:val="none" w:sz="0" w:space="0" w:color="auto"/>
        <w:right w:val="none" w:sz="0" w:space="0" w:color="auto"/>
      </w:divBdr>
    </w:div>
    <w:div w:id="231623584">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645359258">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950865128">
      <w:bodyDiv w:val="1"/>
      <w:marLeft w:val="0"/>
      <w:marRight w:val="0"/>
      <w:marTop w:val="0"/>
      <w:marBottom w:val="0"/>
      <w:divBdr>
        <w:top w:val="none" w:sz="0" w:space="0" w:color="auto"/>
        <w:left w:val="none" w:sz="0" w:space="0" w:color="auto"/>
        <w:bottom w:val="none" w:sz="0" w:space="0" w:color="auto"/>
        <w:right w:val="none" w:sz="0" w:space="0" w:color="auto"/>
      </w:divBdr>
    </w:div>
    <w:div w:id="1031497522">
      <w:bodyDiv w:val="1"/>
      <w:marLeft w:val="0"/>
      <w:marRight w:val="0"/>
      <w:marTop w:val="0"/>
      <w:marBottom w:val="0"/>
      <w:divBdr>
        <w:top w:val="none" w:sz="0" w:space="0" w:color="auto"/>
        <w:left w:val="none" w:sz="0" w:space="0" w:color="auto"/>
        <w:bottom w:val="none" w:sz="0" w:space="0" w:color="auto"/>
        <w:right w:val="none" w:sz="0" w:space="0" w:color="auto"/>
      </w:divBdr>
    </w:div>
    <w:div w:id="1114011723">
      <w:bodyDiv w:val="1"/>
      <w:marLeft w:val="0"/>
      <w:marRight w:val="0"/>
      <w:marTop w:val="0"/>
      <w:marBottom w:val="0"/>
      <w:divBdr>
        <w:top w:val="none" w:sz="0" w:space="0" w:color="auto"/>
        <w:left w:val="none" w:sz="0" w:space="0" w:color="auto"/>
        <w:bottom w:val="none" w:sz="0" w:space="0" w:color="auto"/>
        <w:right w:val="none" w:sz="0" w:space="0" w:color="auto"/>
      </w:divBdr>
    </w:div>
    <w:div w:id="1152521544">
      <w:bodyDiv w:val="1"/>
      <w:marLeft w:val="0"/>
      <w:marRight w:val="0"/>
      <w:marTop w:val="0"/>
      <w:marBottom w:val="0"/>
      <w:divBdr>
        <w:top w:val="none" w:sz="0" w:space="0" w:color="auto"/>
        <w:left w:val="none" w:sz="0" w:space="0" w:color="auto"/>
        <w:bottom w:val="none" w:sz="0" w:space="0" w:color="auto"/>
        <w:right w:val="none" w:sz="0" w:space="0" w:color="auto"/>
      </w:divBdr>
    </w:div>
    <w:div w:id="1186333682">
      <w:bodyDiv w:val="1"/>
      <w:marLeft w:val="0"/>
      <w:marRight w:val="0"/>
      <w:marTop w:val="0"/>
      <w:marBottom w:val="0"/>
      <w:divBdr>
        <w:top w:val="none" w:sz="0" w:space="0" w:color="auto"/>
        <w:left w:val="none" w:sz="0" w:space="0" w:color="auto"/>
        <w:bottom w:val="none" w:sz="0" w:space="0" w:color="auto"/>
        <w:right w:val="none" w:sz="0" w:space="0" w:color="auto"/>
      </w:divBdr>
    </w:div>
    <w:div w:id="1214081466">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451900335">
      <w:bodyDiv w:val="1"/>
      <w:marLeft w:val="0"/>
      <w:marRight w:val="0"/>
      <w:marTop w:val="0"/>
      <w:marBottom w:val="0"/>
      <w:divBdr>
        <w:top w:val="none" w:sz="0" w:space="0" w:color="auto"/>
        <w:left w:val="none" w:sz="0" w:space="0" w:color="auto"/>
        <w:bottom w:val="none" w:sz="0" w:space="0" w:color="auto"/>
        <w:right w:val="none" w:sz="0" w:space="0" w:color="auto"/>
      </w:divBdr>
    </w:div>
    <w:div w:id="1453287278">
      <w:bodyDiv w:val="1"/>
      <w:marLeft w:val="0"/>
      <w:marRight w:val="0"/>
      <w:marTop w:val="0"/>
      <w:marBottom w:val="0"/>
      <w:divBdr>
        <w:top w:val="none" w:sz="0" w:space="0" w:color="auto"/>
        <w:left w:val="none" w:sz="0" w:space="0" w:color="auto"/>
        <w:bottom w:val="none" w:sz="0" w:space="0" w:color="auto"/>
        <w:right w:val="none" w:sz="0" w:space="0" w:color="auto"/>
      </w:divBdr>
    </w:div>
    <w:div w:id="1456481121">
      <w:bodyDiv w:val="1"/>
      <w:marLeft w:val="0"/>
      <w:marRight w:val="0"/>
      <w:marTop w:val="0"/>
      <w:marBottom w:val="0"/>
      <w:divBdr>
        <w:top w:val="none" w:sz="0" w:space="0" w:color="auto"/>
        <w:left w:val="none" w:sz="0" w:space="0" w:color="auto"/>
        <w:bottom w:val="none" w:sz="0" w:space="0" w:color="auto"/>
        <w:right w:val="none" w:sz="0" w:space="0" w:color="auto"/>
      </w:divBdr>
    </w:div>
    <w:div w:id="1467509695">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04263847">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716654637">
      <w:bodyDiv w:val="1"/>
      <w:marLeft w:val="0"/>
      <w:marRight w:val="0"/>
      <w:marTop w:val="0"/>
      <w:marBottom w:val="0"/>
      <w:divBdr>
        <w:top w:val="none" w:sz="0" w:space="0" w:color="auto"/>
        <w:left w:val="none" w:sz="0" w:space="0" w:color="auto"/>
        <w:bottom w:val="none" w:sz="0" w:space="0" w:color="auto"/>
        <w:right w:val="none" w:sz="0" w:space="0" w:color="auto"/>
      </w:divBdr>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 w:id="1871067928">
      <w:bodyDiv w:val="1"/>
      <w:marLeft w:val="0"/>
      <w:marRight w:val="0"/>
      <w:marTop w:val="0"/>
      <w:marBottom w:val="0"/>
      <w:divBdr>
        <w:top w:val="none" w:sz="0" w:space="0" w:color="auto"/>
        <w:left w:val="none" w:sz="0" w:space="0" w:color="auto"/>
        <w:bottom w:val="none" w:sz="0" w:space="0" w:color="auto"/>
        <w:right w:val="none" w:sz="0" w:space="0" w:color="auto"/>
      </w:divBdr>
    </w:div>
    <w:div w:id="1900282421">
      <w:bodyDiv w:val="1"/>
      <w:marLeft w:val="0"/>
      <w:marRight w:val="0"/>
      <w:marTop w:val="0"/>
      <w:marBottom w:val="0"/>
      <w:divBdr>
        <w:top w:val="none" w:sz="0" w:space="0" w:color="auto"/>
        <w:left w:val="none" w:sz="0" w:space="0" w:color="auto"/>
        <w:bottom w:val="none" w:sz="0" w:space="0" w:color="auto"/>
        <w:right w:val="none" w:sz="0" w:space="0" w:color="auto"/>
      </w:divBdr>
    </w:div>
    <w:div w:id="20078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learning.ashp.org/get-start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earning.ash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8026-8695-4493-A868-7781EA2A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Micaela Bresler</cp:lastModifiedBy>
  <cp:revision>8</cp:revision>
  <cp:lastPrinted>2019-09-30T16:20:00Z</cp:lastPrinted>
  <dcterms:created xsi:type="dcterms:W3CDTF">2020-04-29T21:28:00Z</dcterms:created>
  <dcterms:modified xsi:type="dcterms:W3CDTF">2020-05-01T15:55:00Z</dcterms:modified>
</cp:coreProperties>
</file>