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8495" w14:textId="17B9C1FF" w:rsidR="00035687" w:rsidRPr="00C45900" w:rsidRDefault="00C45900" w:rsidP="009A55C3">
      <w:pPr>
        <w:pBdr>
          <w:bottom w:val="single" w:sz="6" w:space="1" w:color="auto"/>
        </w:pBdr>
        <w:rPr>
          <w:b/>
          <w:color w:val="000099"/>
          <w:sz w:val="24"/>
        </w:rPr>
      </w:pPr>
      <w:r w:rsidRPr="00C45900">
        <w:rPr>
          <w:b/>
          <w:color w:val="000099"/>
          <w:sz w:val="24"/>
        </w:rPr>
        <w:t>Beyond Opioids- The Multimodal Approach to Safe and Effective Pain Relief</w:t>
      </w:r>
    </w:p>
    <w:p w14:paraId="07AD530C" w14:textId="77777777" w:rsidR="00035687" w:rsidRDefault="00035687" w:rsidP="009A55C3">
      <w:pPr>
        <w:rPr>
          <w:b/>
          <w:sz w:val="20"/>
          <w:szCs w:val="20"/>
        </w:rPr>
      </w:pPr>
    </w:p>
    <w:p w14:paraId="1BEBAC9B" w14:textId="4443357C" w:rsidR="00773422" w:rsidRPr="002C0A14" w:rsidRDefault="00773422" w:rsidP="009A55C3">
      <w:pPr>
        <w:rPr>
          <w:color w:val="808080" w:themeColor="background1" w:themeShade="80"/>
          <w:sz w:val="20"/>
          <w:szCs w:val="20"/>
        </w:rPr>
      </w:pPr>
      <w:r w:rsidRPr="007504E9">
        <w:rPr>
          <w:b/>
          <w:sz w:val="20"/>
          <w:szCs w:val="20"/>
        </w:rPr>
        <w:t>ACPE Activity Number:</w:t>
      </w:r>
      <w:r w:rsidRPr="005B4B9D">
        <w:rPr>
          <w:b/>
          <w:sz w:val="20"/>
          <w:szCs w:val="20"/>
        </w:rPr>
        <w:t xml:space="preserve"> </w:t>
      </w:r>
      <w:r w:rsidR="00C70F1D">
        <w:rPr>
          <w:b/>
          <w:sz w:val="20"/>
          <w:szCs w:val="20"/>
        </w:rPr>
        <w:t>0204-0000-19-01</w:t>
      </w:r>
      <w:r w:rsidR="00C45900">
        <w:rPr>
          <w:b/>
          <w:sz w:val="20"/>
          <w:szCs w:val="20"/>
        </w:rPr>
        <w:t>9</w:t>
      </w:r>
      <w:r w:rsidR="009530E5">
        <w:rPr>
          <w:b/>
          <w:sz w:val="20"/>
          <w:szCs w:val="20"/>
        </w:rPr>
        <w:t>-H01</w:t>
      </w:r>
      <w:bookmarkStart w:id="0" w:name="_GoBack"/>
      <w:bookmarkEnd w:id="0"/>
      <w:r w:rsidR="00C70F1D">
        <w:rPr>
          <w:b/>
          <w:sz w:val="20"/>
          <w:szCs w:val="20"/>
        </w:rPr>
        <w:t>-P</w:t>
      </w:r>
    </w:p>
    <w:p w14:paraId="1BEBAC9E" w14:textId="35C5A43A" w:rsidR="00FC6EFD" w:rsidRDefault="009C67ED" w:rsidP="009A55C3">
      <w:pPr>
        <w:rPr>
          <w:sz w:val="20"/>
          <w:szCs w:val="20"/>
        </w:rPr>
      </w:pPr>
      <w:r>
        <w:rPr>
          <w:b/>
          <w:sz w:val="20"/>
          <w:szCs w:val="20"/>
        </w:rPr>
        <w:t>Release</w:t>
      </w:r>
      <w:r w:rsidR="00FC6EFD">
        <w:rPr>
          <w:b/>
          <w:sz w:val="20"/>
          <w:szCs w:val="20"/>
        </w:rPr>
        <w:t xml:space="preserve"> Date</w:t>
      </w:r>
      <w:r w:rsidR="002979AD" w:rsidRPr="004949D2">
        <w:rPr>
          <w:b/>
          <w:sz w:val="20"/>
          <w:szCs w:val="20"/>
        </w:rPr>
        <w:t>:</w:t>
      </w:r>
      <w:r w:rsidR="00EC4D16">
        <w:rPr>
          <w:color w:val="808080" w:themeColor="background1" w:themeShade="80"/>
          <w:sz w:val="20"/>
          <w:szCs w:val="20"/>
        </w:rPr>
        <w:t xml:space="preserve"> </w:t>
      </w:r>
      <w:r w:rsidR="00801C0D">
        <w:rPr>
          <w:sz w:val="20"/>
          <w:szCs w:val="20"/>
        </w:rPr>
        <w:t>May</w:t>
      </w:r>
      <w:r w:rsidR="000272F8">
        <w:rPr>
          <w:sz w:val="20"/>
          <w:szCs w:val="20"/>
        </w:rPr>
        <w:t xml:space="preserve"> </w:t>
      </w:r>
      <w:r w:rsidR="00C45900">
        <w:rPr>
          <w:sz w:val="20"/>
          <w:szCs w:val="20"/>
        </w:rPr>
        <w:t>16</w:t>
      </w:r>
      <w:r w:rsidR="008C5741">
        <w:rPr>
          <w:sz w:val="20"/>
          <w:szCs w:val="20"/>
        </w:rPr>
        <w:t>, 2019</w:t>
      </w:r>
    </w:p>
    <w:p w14:paraId="38834555" w14:textId="6923A98D" w:rsidR="009C67ED" w:rsidRPr="00F04215" w:rsidRDefault="009C67ED" w:rsidP="009A55C3">
      <w:pPr>
        <w:rPr>
          <w:b/>
          <w:sz w:val="20"/>
          <w:szCs w:val="20"/>
        </w:rPr>
      </w:pPr>
      <w:r w:rsidRPr="009C67ED">
        <w:rPr>
          <w:b/>
          <w:sz w:val="20"/>
          <w:szCs w:val="20"/>
        </w:rPr>
        <w:t>Expiration Date:</w:t>
      </w:r>
      <w:r w:rsidR="00801C0D">
        <w:rPr>
          <w:sz w:val="20"/>
          <w:szCs w:val="20"/>
        </w:rPr>
        <w:t xml:space="preserve"> May</w:t>
      </w:r>
      <w:r w:rsidR="000272F8">
        <w:rPr>
          <w:sz w:val="20"/>
          <w:szCs w:val="20"/>
        </w:rPr>
        <w:t xml:space="preserve"> </w:t>
      </w:r>
      <w:r w:rsidR="00C45900">
        <w:rPr>
          <w:sz w:val="20"/>
          <w:szCs w:val="20"/>
        </w:rPr>
        <w:t>16</w:t>
      </w:r>
      <w:r w:rsidR="00281F6E">
        <w:rPr>
          <w:sz w:val="20"/>
          <w:szCs w:val="20"/>
        </w:rPr>
        <w:t>, 2022</w:t>
      </w:r>
    </w:p>
    <w:p w14:paraId="1BEBAC9F" w14:textId="539575DC" w:rsidR="00773422" w:rsidRPr="005B4B9D" w:rsidRDefault="00773422" w:rsidP="009A55C3">
      <w:pPr>
        <w:rPr>
          <w:sz w:val="20"/>
          <w:szCs w:val="20"/>
        </w:rPr>
      </w:pPr>
      <w:r w:rsidRPr="005B4B9D">
        <w:rPr>
          <w:b/>
          <w:sz w:val="20"/>
          <w:szCs w:val="20"/>
        </w:rPr>
        <w:t>Activity Type</w:t>
      </w:r>
      <w:r w:rsidR="002979AD">
        <w:rPr>
          <w:b/>
          <w:sz w:val="20"/>
          <w:szCs w:val="20"/>
        </w:rPr>
        <w:t xml:space="preserve">: </w:t>
      </w:r>
      <w:r w:rsidR="00C45900">
        <w:rPr>
          <w:sz w:val="20"/>
          <w:szCs w:val="20"/>
        </w:rPr>
        <w:t>Application</w:t>
      </w:r>
      <w:r w:rsidR="002979AD">
        <w:rPr>
          <w:sz w:val="20"/>
          <w:szCs w:val="20"/>
        </w:rPr>
        <w:t>-based</w:t>
      </w:r>
      <w:r w:rsidR="0000662F" w:rsidRPr="005B4B9D">
        <w:rPr>
          <w:sz w:val="20"/>
          <w:szCs w:val="20"/>
        </w:rPr>
        <w:t xml:space="preserve"> </w:t>
      </w:r>
      <w:r w:rsidR="00EC4D16">
        <w:rPr>
          <w:sz w:val="20"/>
          <w:szCs w:val="20"/>
        </w:rPr>
        <w:t xml:space="preserve"> </w:t>
      </w:r>
    </w:p>
    <w:p w14:paraId="1BEBACA0" w14:textId="35B13AF5" w:rsidR="00773422" w:rsidRPr="00F04215" w:rsidRDefault="00DF4F48" w:rsidP="009A55C3">
      <w:pPr>
        <w:rPr>
          <w:sz w:val="20"/>
          <w:szCs w:val="20"/>
        </w:rPr>
      </w:pPr>
      <w:r w:rsidRPr="005B4B9D">
        <w:rPr>
          <w:b/>
          <w:sz w:val="20"/>
          <w:szCs w:val="20"/>
        </w:rPr>
        <w:t>CE Credits:</w:t>
      </w:r>
      <w:r w:rsidR="002979AD">
        <w:rPr>
          <w:b/>
          <w:sz w:val="20"/>
          <w:szCs w:val="20"/>
        </w:rPr>
        <w:t xml:space="preserve"> </w:t>
      </w:r>
      <w:r w:rsidR="002979AD">
        <w:rPr>
          <w:sz w:val="20"/>
          <w:szCs w:val="20"/>
        </w:rPr>
        <w:t>1.0 hour, no partial credit</w:t>
      </w:r>
    </w:p>
    <w:p w14:paraId="1BEBACA1" w14:textId="6A4603E2" w:rsidR="0000662F" w:rsidRPr="00F04215" w:rsidRDefault="00160029" w:rsidP="009A55C3">
      <w:pPr>
        <w:tabs>
          <w:tab w:val="right" w:pos="9360"/>
        </w:tabs>
        <w:rPr>
          <w:sz w:val="20"/>
          <w:szCs w:val="20"/>
        </w:rPr>
      </w:pPr>
      <w:r w:rsidRPr="005B4B9D">
        <w:rPr>
          <w:b/>
          <w:sz w:val="20"/>
          <w:szCs w:val="20"/>
        </w:rPr>
        <w:t>Activity Fee</w:t>
      </w:r>
      <w:r w:rsidR="00DF4F48" w:rsidRPr="005B4B9D">
        <w:rPr>
          <w:sz w:val="20"/>
          <w:szCs w:val="20"/>
        </w:rPr>
        <w:t>:</w:t>
      </w:r>
      <w:r w:rsidR="002979AD">
        <w:rPr>
          <w:sz w:val="20"/>
          <w:szCs w:val="20"/>
        </w:rPr>
        <w:t xml:space="preserve"> </w:t>
      </w:r>
      <w:r w:rsidR="00332E8A">
        <w:rPr>
          <w:sz w:val="20"/>
          <w:szCs w:val="20"/>
        </w:rPr>
        <w:t>Members – Free / Non-Member</w:t>
      </w:r>
      <w:r w:rsidR="00065CB1">
        <w:rPr>
          <w:sz w:val="20"/>
          <w:szCs w:val="20"/>
        </w:rPr>
        <w:t xml:space="preserve"> </w:t>
      </w:r>
      <w:r w:rsidR="00012D16">
        <w:rPr>
          <w:sz w:val="20"/>
          <w:szCs w:val="20"/>
        </w:rPr>
        <w:t>–</w:t>
      </w:r>
      <w:r w:rsidR="00065CB1">
        <w:rPr>
          <w:sz w:val="20"/>
          <w:szCs w:val="20"/>
        </w:rPr>
        <w:t xml:space="preserve"> </w:t>
      </w:r>
      <w:r w:rsidR="00012D16">
        <w:rPr>
          <w:sz w:val="20"/>
          <w:szCs w:val="20"/>
        </w:rPr>
        <w:t>Not Available</w:t>
      </w:r>
      <w:r w:rsidR="00FC1477" w:rsidRPr="00FC1477">
        <w:rPr>
          <w:sz w:val="20"/>
          <w:szCs w:val="20"/>
        </w:rPr>
        <w:t xml:space="preserve"> </w:t>
      </w:r>
      <w:r w:rsidR="00FC1477">
        <w:rPr>
          <w:sz w:val="20"/>
          <w:szCs w:val="20"/>
        </w:rPr>
        <w:t xml:space="preserve"> </w:t>
      </w:r>
    </w:p>
    <w:p w14:paraId="1BEBACA2" w14:textId="77777777" w:rsidR="00773422" w:rsidRPr="005B4B9D" w:rsidRDefault="00773422" w:rsidP="009A55C3">
      <w:pPr>
        <w:rPr>
          <w:sz w:val="20"/>
          <w:szCs w:val="20"/>
        </w:rPr>
      </w:pPr>
    </w:p>
    <w:p w14:paraId="160B9798" w14:textId="5BE86A93" w:rsidR="00666D01" w:rsidRPr="00935DD9" w:rsidRDefault="00773422" w:rsidP="009A55C3">
      <w:pPr>
        <w:pBdr>
          <w:bottom w:val="single" w:sz="6" w:space="1" w:color="auto"/>
        </w:pBdr>
        <w:rPr>
          <w:b/>
          <w:color w:val="000099"/>
          <w:sz w:val="24"/>
        </w:rPr>
      </w:pPr>
      <w:r w:rsidRPr="00935DD9">
        <w:rPr>
          <w:b/>
          <w:color w:val="000099"/>
          <w:sz w:val="24"/>
        </w:rPr>
        <w:t>Accreditation for Pharmacists</w:t>
      </w:r>
    </w:p>
    <w:p w14:paraId="1BEBACA4" w14:textId="77777777" w:rsidR="00773422" w:rsidRDefault="00773422" w:rsidP="009A55C3">
      <w:pPr>
        <w:rPr>
          <w:i/>
          <w:color w:val="4A442A" w:themeColor="background2" w:themeShade="40"/>
          <w:sz w:val="20"/>
        </w:rPr>
      </w:pPr>
      <w:r w:rsidRPr="00935DD9">
        <w:rPr>
          <w:noProof/>
          <w:sz w:val="20"/>
        </w:rPr>
        <w:drawing>
          <wp:anchor distT="0" distB="0" distL="114300" distR="114300" simplePos="0" relativeHeight="251661312" behindDoc="0" locked="0" layoutInCell="1" allowOverlap="1" wp14:anchorId="1BEBACE3" wp14:editId="1BEBACE4">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10"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w:t>
      </w:r>
      <w:r w:rsidRPr="005D498D">
        <w:rPr>
          <w:color w:val="000000"/>
          <w:sz w:val="20"/>
        </w:rPr>
        <w:t>Education</w:t>
      </w:r>
      <w:r w:rsidRPr="00935DD9">
        <w:rPr>
          <w:sz w:val="20"/>
        </w:rPr>
        <w:t xml:space="preserve"> as a provider of continuing pharmacy education.</w:t>
      </w:r>
    </w:p>
    <w:p w14:paraId="1BEBACA5" w14:textId="77777777" w:rsidR="00773422" w:rsidRDefault="00773422" w:rsidP="009A55C3"/>
    <w:p w14:paraId="1BEBACAF" w14:textId="77777777" w:rsidR="00CA6C4E" w:rsidRDefault="00CA6C4E" w:rsidP="009A55C3"/>
    <w:p w14:paraId="1BEBACB0" w14:textId="77777777" w:rsidR="00773422" w:rsidRPr="00935DD9" w:rsidRDefault="00773422" w:rsidP="009A55C3">
      <w:pPr>
        <w:pBdr>
          <w:bottom w:val="single" w:sz="6" w:space="1" w:color="auto"/>
        </w:pBdr>
        <w:rPr>
          <w:b/>
          <w:color w:val="000099"/>
          <w:sz w:val="24"/>
        </w:rPr>
      </w:pPr>
      <w:r w:rsidRPr="00CA4951">
        <w:rPr>
          <w:b/>
          <w:color w:val="000099"/>
          <w:sz w:val="24"/>
        </w:rPr>
        <w:t>Target Audience</w:t>
      </w:r>
    </w:p>
    <w:p w14:paraId="7B8DEE73" w14:textId="3EA859FA" w:rsidR="00C45900" w:rsidRDefault="00573042" w:rsidP="009A55C3">
      <w:pPr>
        <w:rPr>
          <w:sz w:val="20"/>
        </w:rPr>
      </w:pPr>
      <w:r w:rsidRPr="00F210CA">
        <w:rPr>
          <w:sz w:val="20"/>
        </w:rPr>
        <w:t>This continui</w:t>
      </w:r>
      <w:r>
        <w:rPr>
          <w:sz w:val="20"/>
        </w:rPr>
        <w:t xml:space="preserve">ng pharmacy education activity </w:t>
      </w:r>
      <w:r w:rsidR="00C45900">
        <w:rPr>
          <w:sz w:val="20"/>
        </w:rPr>
        <w:t xml:space="preserve">for pharmacists and physicians </w:t>
      </w:r>
      <w:r w:rsidR="00683F14">
        <w:rPr>
          <w:sz w:val="20"/>
        </w:rPr>
        <w:t xml:space="preserve">to implement </w:t>
      </w:r>
      <w:r w:rsidR="00C45900">
        <w:rPr>
          <w:sz w:val="20"/>
        </w:rPr>
        <w:t xml:space="preserve">new uses for non-opioids products </w:t>
      </w:r>
      <w:r w:rsidR="00683F14">
        <w:rPr>
          <w:sz w:val="20"/>
        </w:rPr>
        <w:t xml:space="preserve">for pain management strategy. </w:t>
      </w:r>
    </w:p>
    <w:p w14:paraId="08EBF396" w14:textId="77777777" w:rsidR="00573042" w:rsidRDefault="00573042" w:rsidP="009A55C3"/>
    <w:p w14:paraId="1BEBACB3" w14:textId="77777777" w:rsidR="00A02D70" w:rsidRPr="00935DD9" w:rsidRDefault="00A02D70" w:rsidP="009A55C3">
      <w:pPr>
        <w:pBdr>
          <w:bottom w:val="single" w:sz="6" w:space="2" w:color="auto"/>
        </w:pBdr>
        <w:rPr>
          <w:b/>
          <w:color w:val="000099"/>
          <w:sz w:val="24"/>
        </w:rPr>
      </w:pPr>
      <w:r w:rsidRPr="00CA4951">
        <w:rPr>
          <w:b/>
          <w:color w:val="000099"/>
          <w:sz w:val="24"/>
        </w:rPr>
        <w:t>Activity Overview</w:t>
      </w:r>
    </w:p>
    <w:p w14:paraId="1B10E812" w14:textId="442D287C" w:rsidR="00843080" w:rsidRDefault="00843080" w:rsidP="009A55C3">
      <w:pPr>
        <w:tabs>
          <w:tab w:val="left" w:pos="1632"/>
        </w:tabs>
        <w:jc w:val="both"/>
        <w:rPr>
          <w:sz w:val="20"/>
        </w:rPr>
      </w:pPr>
      <w:r>
        <w:rPr>
          <w:rFonts w:ascii="Calibri" w:eastAsia="Times New Roman" w:hAnsi="Calibri" w:cs="Times New Roman"/>
          <w:sz w:val="20"/>
        </w:rPr>
        <w:t xml:space="preserve">This one hour CE, divided in to four topical sections, provides current guidance for physicians and pharmacists on how to avoid overuse of opioids while still offering patients safe and effective pain relief. The sections include: </w:t>
      </w:r>
      <w:proofErr w:type="gramStart"/>
      <w:r>
        <w:rPr>
          <w:rFonts w:ascii="Calibri" w:eastAsia="Times New Roman" w:hAnsi="Calibri" w:cs="Times New Roman"/>
          <w:sz w:val="20"/>
        </w:rPr>
        <w:t>reimbursement</w:t>
      </w:r>
      <w:proofErr w:type="gramEnd"/>
      <w:r>
        <w:rPr>
          <w:rFonts w:ascii="Calibri" w:eastAsia="Times New Roman" w:hAnsi="Calibri" w:cs="Times New Roman"/>
          <w:sz w:val="20"/>
        </w:rPr>
        <w:t>, intravenous non-steroidal anti-inflammatories, other non-opioid modalities, and local anesthetics.</w:t>
      </w:r>
    </w:p>
    <w:p w14:paraId="53BFF450" w14:textId="77777777" w:rsidR="004750A2" w:rsidRPr="007E52D6" w:rsidRDefault="004750A2" w:rsidP="009A55C3">
      <w:pPr>
        <w:rPr>
          <w:rFonts w:eastAsia="Times New Roman" w:cs="Times New Roman"/>
          <w:sz w:val="20"/>
        </w:rPr>
      </w:pPr>
    </w:p>
    <w:p w14:paraId="1BEBACB7" w14:textId="77777777" w:rsidR="00773422" w:rsidRPr="00935DD9" w:rsidRDefault="00773422" w:rsidP="009A55C3">
      <w:pPr>
        <w:pBdr>
          <w:bottom w:val="single" w:sz="6" w:space="1" w:color="auto"/>
        </w:pBdr>
        <w:rPr>
          <w:b/>
          <w:color w:val="000099"/>
          <w:sz w:val="24"/>
        </w:rPr>
      </w:pPr>
      <w:r w:rsidRPr="00CA4951">
        <w:rPr>
          <w:b/>
          <w:color w:val="000099"/>
          <w:sz w:val="24"/>
        </w:rPr>
        <w:t>Learning Objectives</w:t>
      </w:r>
    </w:p>
    <w:p w14:paraId="695AAE32" w14:textId="77777777" w:rsidR="00843080" w:rsidRPr="00843080" w:rsidRDefault="00843080" w:rsidP="009A55C3">
      <w:pPr>
        <w:pStyle w:val="ListParagraph"/>
        <w:numPr>
          <w:ilvl w:val="0"/>
          <w:numId w:val="24"/>
        </w:numPr>
        <w:spacing w:after="0" w:line="240" w:lineRule="auto"/>
      </w:pPr>
      <w:r w:rsidRPr="00843080">
        <w:t>Summarize strategies to optimize pain management practices and effects on available reimbursement methods.</w:t>
      </w:r>
    </w:p>
    <w:p w14:paraId="56D9ACB9" w14:textId="77777777" w:rsidR="00843080" w:rsidRPr="00843080" w:rsidRDefault="00843080" w:rsidP="009A55C3">
      <w:pPr>
        <w:pStyle w:val="ListParagraph"/>
        <w:numPr>
          <w:ilvl w:val="0"/>
          <w:numId w:val="24"/>
        </w:numPr>
        <w:spacing w:after="0" w:line="240" w:lineRule="auto"/>
      </w:pPr>
      <w:r w:rsidRPr="00843080">
        <w:t>Compare intravenous non-steroidal anti-inflammatories (NSAIDS) in current and expected future use.</w:t>
      </w:r>
    </w:p>
    <w:p w14:paraId="77C41902" w14:textId="5FDAA975" w:rsidR="00843080" w:rsidRDefault="00843080" w:rsidP="009A55C3">
      <w:pPr>
        <w:pStyle w:val="ListParagraph"/>
        <w:numPr>
          <w:ilvl w:val="0"/>
          <w:numId w:val="24"/>
        </w:numPr>
        <w:spacing w:after="0" w:line="240" w:lineRule="auto"/>
      </w:pPr>
      <w:r w:rsidRPr="00843080">
        <w:t>Given a scenario, select non-opioid alternatives to incorporate in a pain management strategy</w:t>
      </w:r>
      <w:r>
        <w:t>.</w:t>
      </w:r>
    </w:p>
    <w:p w14:paraId="62A3DA39" w14:textId="3B1E92E0" w:rsidR="00843080" w:rsidRDefault="00843080" w:rsidP="009A55C3">
      <w:pPr>
        <w:pStyle w:val="ListParagraph"/>
        <w:numPr>
          <w:ilvl w:val="0"/>
          <w:numId w:val="24"/>
        </w:numPr>
        <w:spacing w:after="0" w:line="240" w:lineRule="auto"/>
      </w:pPr>
      <w:r>
        <w:t>Given a scenario, choose an appropriate local anesthetic and its place in multimodal analgesia.</w:t>
      </w:r>
    </w:p>
    <w:p w14:paraId="1EF5652F" w14:textId="77777777" w:rsidR="00843080" w:rsidRPr="00843080" w:rsidRDefault="00843080" w:rsidP="009A55C3">
      <w:pPr>
        <w:ind w:left="360"/>
      </w:pPr>
    </w:p>
    <w:p w14:paraId="5AA3D448" w14:textId="77777777" w:rsidR="00843080" w:rsidRDefault="00843080" w:rsidP="009A55C3">
      <w:pPr>
        <w:tabs>
          <w:tab w:val="left" w:pos="1632"/>
        </w:tabs>
        <w:jc w:val="both"/>
        <w:rPr>
          <w:rFonts w:ascii="Calibri" w:eastAsia="Times New Roman" w:hAnsi="Calibri" w:cs="Times New Roman"/>
          <w:sz w:val="20"/>
        </w:rPr>
      </w:pPr>
    </w:p>
    <w:p w14:paraId="1BEBACBD" w14:textId="417BB129" w:rsidR="0000662F" w:rsidRPr="00935DD9" w:rsidRDefault="0000662F" w:rsidP="009A55C3">
      <w:pPr>
        <w:pBdr>
          <w:bottom w:val="single" w:sz="6" w:space="1" w:color="auto"/>
        </w:pBdr>
        <w:rPr>
          <w:b/>
          <w:color w:val="000099"/>
          <w:sz w:val="24"/>
        </w:rPr>
      </w:pPr>
      <w:r w:rsidRPr="00A75B1A">
        <w:rPr>
          <w:b/>
          <w:color w:val="000099"/>
          <w:sz w:val="24"/>
        </w:rPr>
        <w:t>Schedule of Educational Activities</w:t>
      </w:r>
    </w:p>
    <w:p w14:paraId="2857E564" w14:textId="29F4DA50" w:rsidR="004420FC" w:rsidRDefault="00843080" w:rsidP="009A55C3">
      <w:pPr>
        <w:pStyle w:val="ListParagraph"/>
        <w:numPr>
          <w:ilvl w:val="0"/>
          <w:numId w:val="22"/>
        </w:numPr>
        <w:spacing w:after="0" w:line="240" w:lineRule="auto"/>
        <w:rPr>
          <w:sz w:val="20"/>
        </w:rPr>
      </w:pPr>
      <w:r>
        <w:rPr>
          <w:sz w:val="20"/>
        </w:rPr>
        <w:t>Optimizing pain management</w:t>
      </w:r>
    </w:p>
    <w:p w14:paraId="525AFB98" w14:textId="1C3AD376" w:rsidR="008C02E5" w:rsidRDefault="00843080" w:rsidP="009A55C3">
      <w:pPr>
        <w:pStyle w:val="ListParagraph"/>
        <w:numPr>
          <w:ilvl w:val="0"/>
          <w:numId w:val="22"/>
        </w:numPr>
        <w:spacing w:after="0" w:line="240" w:lineRule="auto"/>
        <w:rPr>
          <w:sz w:val="20"/>
        </w:rPr>
      </w:pPr>
      <w:r>
        <w:rPr>
          <w:sz w:val="20"/>
        </w:rPr>
        <w:t>Current and future uses of intravenous non-steroidal and anti-inflammatories (NSAIDS)</w:t>
      </w:r>
    </w:p>
    <w:p w14:paraId="17CF182E" w14:textId="36BB6F9E" w:rsidR="00843080" w:rsidRPr="000272F8" w:rsidRDefault="00843080" w:rsidP="009A55C3">
      <w:pPr>
        <w:pStyle w:val="ListParagraph"/>
        <w:numPr>
          <w:ilvl w:val="0"/>
          <w:numId w:val="22"/>
        </w:numPr>
        <w:spacing w:after="0" w:line="240" w:lineRule="auto"/>
        <w:rPr>
          <w:sz w:val="20"/>
        </w:rPr>
      </w:pPr>
      <w:r>
        <w:rPr>
          <w:sz w:val="20"/>
        </w:rPr>
        <w:t>Pain management strategy using non-opioid alternatives</w:t>
      </w:r>
    </w:p>
    <w:p w14:paraId="046892B6" w14:textId="77777777" w:rsidR="00C0615B" w:rsidRDefault="00C0615B" w:rsidP="009A55C3">
      <w:pPr>
        <w:pBdr>
          <w:bottom w:val="single" w:sz="6" w:space="1" w:color="auto"/>
        </w:pBdr>
        <w:rPr>
          <w:b/>
          <w:color w:val="000099"/>
          <w:sz w:val="24"/>
        </w:rPr>
      </w:pPr>
    </w:p>
    <w:p w14:paraId="1BEBACC1" w14:textId="34F70ADD" w:rsidR="00886B7B" w:rsidRDefault="00886B7B" w:rsidP="009A55C3">
      <w:pPr>
        <w:pBdr>
          <w:bottom w:val="single" w:sz="6" w:space="1" w:color="auto"/>
        </w:pBdr>
        <w:rPr>
          <w:b/>
          <w:color w:val="000099"/>
          <w:sz w:val="24"/>
        </w:rPr>
      </w:pPr>
      <w:r w:rsidRPr="00CA4951">
        <w:rPr>
          <w:b/>
          <w:color w:val="000099"/>
          <w:sz w:val="24"/>
        </w:rPr>
        <w:t>Faculty Information</w:t>
      </w:r>
    </w:p>
    <w:p w14:paraId="60142ED8" w14:textId="40514DA6" w:rsidR="00843080" w:rsidRPr="00843080" w:rsidRDefault="00843080" w:rsidP="009A55C3">
      <w:pPr>
        <w:pStyle w:val="ListParagraph"/>
        <w:numPr>
          <w:ilvl w:val="0"/>
          <w:numId w:val="20"/>
        </w:numPr>
        <w:spacing w:after="0" w:line="240" w:lineRule="auto"/>
        <w:rPr>
          <w:noProof/>
          <w:sz w:val="20"/>
          <w:szCs w:val="20"/>
        </w:rPr>
      </w:pPr>
      <w:r w:rsidRPr="00843080">
        <w:rPr>
          <w:b/>
          <w:noProof/>
          <w:sz w:val="20"/>
          <w:szCs w:val="20"/>
        </w:rPr>
        <w:t>Jawad N. Saleh, Pharm.D.,</w:t>
      </w:r>
      <w:r w:rsidRPr="00843080">
        <w:rPr>
          <w:noProof/>
          <w:sz w:val="20"/>
          <w:szCs w:val="20"/>
        </w:rPr>
        <w:t xml:space="preserve"> Pharmacy Clinical Coordinator , Hospital for Special Surgery, New York,  NY </w:t>
      </w:r>
    </w:p>
    <w:p w14:paraId="41EDF015" w14:textId="77777777" w:rsidR="00890ECC" w:rsidRPr="00890ECC" w:rsidRDefault="00890ECC" w:rsidP="009A55C3">
      <w:pPr>
        <w:pStyle w:val="ListParagraph"/>
        <w:tabs>
          <w:tab w:val="left" w:pos="720"/>
        </w:tabs>
        <w:spacing w:after="0" w:line="240" w:lineRule="auto"/>
        <w:rPr>
          <w:noProof/>
        </w:rPr>
      </w:pPr>
    </w:p>
    <w:p w14:paraId="0084C1DB" w14:textId="77777777" w:rsidR="008749DE" w:rsidRDefault="008749DE" w:rsidP="009A55C3">
      <w:pPr>
        <w:pBdr>
          <w:bottom w:val="single" w:sz="4" w:space="1" w:color="auto"/>
        </w:pBdr>
        <w:rPr>
          <w:b/>
          <w:color w:val="000099"/>
          <w:sz w:val="24"/>
        </w:rPr>
      </w:pPr>
      <w:r>
        <w:rPr>
          <w:b/>
          <w:color w:val="000099"/>
          <w:sz w:val="24"/>
        </w:rPr>
        <w:t>Faculty Disclosures</w:t>
      </w:r>
    </w:p>
    <w:p w14:paraId="000D92E7" w14:textId="6B9802E8" w:rsidR="008749DE" w:rsidRPr="0008064A" w:rsidRDefault="008749DE" w:rsidP="009A55C3">
      <w:pPr>
        <w:rPr>
          <w:rFonts w:eastAsia="Times New Roman" w:cs="Times New Roman"/>
          <w:i/>
          <w:sz w:val="20"/>
          <w:szCs w:val="24"/>
        </w:rPr>
      </w:pPr>
      <w:r>
        <w:rPr>
          <w:sz w:val="20"/>
          <w:szCs w:val="20"/>
        </w:rPr>
        <w:t xml:space="preserve">In </w:t>
      </w:r>
      <w:r w:rsidRPr="00391E49">
        <w:rPr>
          <w:rFonts w:eastAsia="Times New Roman" w:cs="Times New Roman"/>
          <w:sz w:val="20"/>
          <w:szCs w:val="24"/>
        </w:rPr>
        <w:t xml:space="preserve">accordance with the ACPE's and ACCME's Standards for Commercial Support, </w:t>
      </w:r>
      <w:r w:rsidR="005A3A24">
        <w:rPr>
          <w:rFonts w:eastAsia="Times New Roman" w:cs="Times New Roman"/>
          <w:sz w:val="20"/>
          <w:szCs w:val="24"/>
        </w:rPr>
        <w:t>any</w:t>
      </w:r>
      <w:r w:rsidRPr="00391E49">
        <w:rPr>
          <w:rFonts w:eastAsia="Times New Roman" w:cs="Times New Roman"/>
          <w:sz w:val="20"/>
          <w:szCs w:val="24"/>
        </w:rPr>
        <w:t xml:space="preserve">one in a position to control the content of an educational activity is required to disclose to the accredited provider their relevant financial relationships. </w:t>
      </w:r>
      <w:r w:rsidR="005A3A24">
        <w:rPr>
          <w:rFonts w:eastAsia="Times New Roman" w:cs="Times New Roman"/>
          <w:sz w:val="20"/>
          <w:szCs w:val="24"/>
        </w:rPr>
        <w:t xml:space="preserve">In accordance with these Standards, all potential conflicts of interest have been resolved. </w:t>
      </w:r>
      <w:r w:rsidRPr="0008064A">
        <w:rPr>
          <w:rFonts w:eastAsia="Times New Roman" w:cs="Times New Roman"/>
          <w:i/>
          <w:sz w:val="20"/>
          <w:szCs w:val="24"/>
        </w:rPr>
        <w:t xml:space="preserve">An individual </w:t>
      </w:r>
      <w:r w:rsidRPr="0008064A">
        <w:rPr>
          <w:rFonts w:eastAsia="Times New Roman" w:cs="Times New Roman"/>
          <w:i/>
          <w:sz w:val="20"/>
          <w:szCs w:val="24"/>
        </w:rPr>
        <w:lastRenderedPageBreak/>
        <w:t xml:space="preserve">has a </w:t>
      </w:r>
      <w:r w:rsidRPr="0008064A">
        <w:rPr>
          <w:rFonts w:eastAsia="Times New Roman" w:cs="Times New Roman"/>
          <w:b/>
          <w:i/>
          <w:sz w:val="20"/>
          <w:szCs w:val="24"/>
        </w:rPr>
        <w:t>relevant financial relationship</w:t>
      </w:r>
      <w:r w:rsidRPr="0008064A">
        <w:rPr>
          <w:rFonts w:eastAsia="Times New Roman" w:cs="Times New Roman"/>
          <w:i/>
          <w:sz w:val="20"/>
          <w:szCs w:val="24"/>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14:paraId="23C95F12" w14:textId="77777777" w:rsidR="008749DE" w:rsidRPr="00391E49" w:rsidRDefault="008749DE" w:rsidP="009A55C3">
      <w:pPr>
        <w:rPr>
          <w:rFonts w:eastAsia="Times New Roman" w:cs="Times New Roman"/>
          <w:sz w:val="20"/>
          <w:szCs w:val="24"/>
        </w:rPr>
      </w:pPr>
    </w:p>
    <w:p w14:paraId="7F50E886" w14:textId="1C0FCBAA" w:rsidR="008749DE" w:rsidRDefault="008749DE" w:rsidP="009A55C3">
      <w:pPr>
        <w:rPr>
          <w:rFonts w:eastAsia="Times New Roman" w:cs="Times New Roman"/>
          <w:sz w:val="20"/>
          <w:szCs w:val="24"/>
        </w:rPr>
      </w:pPr>
      <w:r w:rsidRPr="00391E49">
        <w:rPr>
          <w:rFonts w:eastAsia="Times New Roman" w:cs="Times New Roman"/>
          <w:sz w:val="20"/>
          <w:szCs w:val="24"/>
        </w:rPr>
        <w:t>A</w:t>
      </w:r>
      <w:r w:rsidR="005A3A24">
        <w:rPr>
          <w:rFonts w:eastAsia="Times New Roman" w:cs="Times New Roman"/>
          <w:sz w:val="20"/>
          <w:szCs w:val="24"/>
        </w:rPr>
        <w:t>s defined by ACCME, a</w:t>
      </w:r>
      <w:r w:rsidRPr="00391E49">
        <w:rPr>
          <w:rFonts w:eastAsia="Times New Roman" w:cs="Times New Roman"/>
          <w:sz w:val="20"/>
          <w:szCs w:val="24"/>
        </w:rPr>
        <w:t xml:space="preserve"> </w:t>
      </w:r>
      <w:r w:rsidRPr="00391E49">
        <w:rPr>
          <w:rFonts w:eastAsia="Times New Roman" w:cs="Times New Roman"/>
          <w:b/>
          <w:sz w:val="20"/>
          <w:szCs w:val="24"/>
        </w:rPr>
        <w:t>commercial interest</w:t>
      </w:r>
      <w:r w:rsidRPr="00391E49">
        <w:rPr>
          <w:rFonts w:eastAsia="Times New Roman" w:cs="Times New Roman"/>
          <w:sz w:val="20"/>
          <w:szCs w:val="24"/>
        </w:rPr>
        <w:t xml:space="preserve"> is any entity producing, marketing, re-selling, or distributing health care goods or services consumed by, or used on, patients. The Standards for Commercial Support do not consider providers of clinical service directly to patients to be commercial interests. The existence or non-existence of relevant financial relationships will be disclosed to the activity audience. All identified conflicts of interest must be resolved prior to the activity.</w:t>
      </w:r>
    </w:p>
    <w:p w14:paraId="5DF54C22" w14:textId="77777777" w:rsidR="008749DE" w:rsidRDefault="008749DE" w:rsidP="009A55C3">
      <w:pPr>
        <w:rPr>
          <w:rFonts w:eastAsia="Times New Roman" w:cs="Times New Roman"/>
          <w:sz w:val="20"/>
          <w:szCs w:val="24"/>
        </w:rPr>
      </w:pPr>
    </w:p>
    <w:p w14:paraId="2676A8B8" w14:textId="5D16FB42" w:rsidR="008749DE" w:rsidRPr="00083281" w:rsidRDefault="008749DE" w:rsidP="009A55C3">
      <w:pPr>
        <w:pStyle w:val="ListParagraph"/>
        <w:numPr>
          <w:ilvl w:val="0"/>
          <w:numId w:val="17"/>
        </w:numPr>
        <w:tabs>
          <w:tab w:val="left" w:pos="326"/>
          <w:tab w:val="left" w:pos="8550"/>
        </w:tabs>
        <w:spacing w:after="0" w:line="240" w:lineRule="auto"/>
        <w:contextualSpacing w:val="0"/>
        <w:rPr>
          <w:b/>
          <w:sz w:val="20"/>
        </w:rPr>
      </w:pPr>
      <w:r w:rsidRPr="00083281">
        <w:rPr>
          <w:b/>
          <w:sz w:val="20"/>
        </w:rPr>
        <w:t>All planners, presenters, reviewers</w:t>
      </w:r>
      <w:r w:rsidR="005A3A24">
        <w:rPr>
          <w:b/>
          <w:sz w:val="20"/>
        </w:rPr>
        <w:t>, and ASHP staff</w:t>
      </w:r>
      <w:r w:rsidRPr="00083281">
        <w:rPr>
          <w:b/>
          <w:sz w:val="20"/>
        </w:rPr>
        <w:t xml:space="preserve"> report no financial relationships relevant to this activity.</w:t>
      </w:r>
    </w:p>
    <w:p w14:paraId="313351B1" w14:textId="77777777" w:rsidR="008749DE" w:rsidRDefault="008749DE" w:rsidP="009A55C3">
      <w:pPr>
        <w:pBdr>
          <w:bottom w:val="single" w:sz="6" w:space="1" w:color="auto"/>
        </w:pBdr>
        <w:rPr>
          <w:b/>
          <w:color w:val="000099"/>
          <w:sz w:val="24"/>
        </w:rPr>
      </w:pPr>
    </w:p>
    <w:p w14:paraId="1BEBACCB" w14:textId="5B3C8974" w:rsidR="00886B7B" w:rsidRPr="005028B8" w:rsidRDefault="00886B7B" w:rsidP="009A55C3">
      <w:pPr>
        <w:pBdr>
          <w:bottom w:val="single" w:sz="6" w:space="1" w:color="auto"/>
        </w:pBdr>
        <w:rPr>
          <w:b/>
          <w:color w:val="000099"/>
          <w:sz w:val="24"/>
        </w:rPr>
      </w:pPr>
      <w:r w:rsidRPr="005028B8">
        <w:rPr>
          <w:b/>
          <w:color w:val="000099"/>
          <w:sz w:val="24"/>
        </w:rPr>
        <w:t xml:space="preserve">Methods and CE </w:t>
      </w:r>
      <w:r w:rsidR="008669F1" w:rsidRPr="005028B8">
        <w:rPr>
          <w:b/>
          <w:color w:val="000099"/>
          <w:sz w:val="24"/>
        </w:rPr>
        <w:t>Requirements</w:t>
      </w:r>
    </w:p>
    <w:p w14:paraId="600098F8" w14:textId="77777777" w:rsidR="009C67ED" w:rsidRPr="002979AD" w:rsidRDefault="009C67ED" w:rsidP="009A55C3">
      <w:pPr>
        <w:rPr>
          <w:rFonts w:eastAsia="Times New Roman" w:cs="Times New Roman"/>
          <w:sz w:val="20"/>
          <w:szCs w:val="24"/>
        </w:rPr>
      </w:pPr>
      <w:r w:rsidRPr="002979AD">
        <w:rPr>
          <w:rFonts w:eastAsia="Times New Roman" w:cs="Times New Roman"/>
          <w:sz w:val="20"/>
          <w:szCs w:val="24"/>
        </w:rPr>
        <w:t xml:space="preserve">This activity consists of </w:t>
      </w:r>
      <w:r>
        <w:rPr>
          <w:rFonts w:eastAsia="Times New Roman" w:cs="Times New Roman"/>
          <w:sz w:val="20"/>
          <w:szCs w:val="24"/>
        </w:rPr>
        <w:t xml:space="preserve">a recordings of </w:t>
      </w:r>
      <w:r w:rsidRPr="002979AD">
        <w:rPr>
          <w:rFonts w:eastAsia="Times New Roman" w:cs="Times New Roman"/>
          <w:sz w:val="20"/>
          <w:szCs w:val="24"/>
        </w:rPr>
        <w:t xml:space="preserve">faculty slides presentations, active learning activities, discussion, and handouts. Participants must </w:t>
      </w:r>
      <w:r>
        <w:rPr>
          <w:rFonts w:eastAsia="Times New Roman" w:cs="Times New Roman"/>
          <w:sz w:val="20"/>
          <w:szCs w:val="24"/>
        </w:rPr>
        <w:t xml:space="preserve">participate in </w:t>
      </w:r>
      <w:r w:rsidRPr="002979AD">
        <w:rPr>
          <w:rFonts w:eastAsia="Times New Roman" w:cs="Times New Roman"/>
          <w:sz w:val="20"/>
          <w:szCs w:val="24"/>
        </w:rPr>
        <w:t>the activity in its entirety to claim continuing pharmacy education credit online at ASHP eLearning Portal. Follow the prompts online to</w:t>
      </w:r>
      <w:r>
        <w:rPr>
          <w:rFonts w:eastAsia="Times New Roman" w:cs="Times New Roman"/>
          <w:sz w:val="20"/>
          <w:szCs w:val="24"/>
        </w:rPr>
        <w:t xml:space="preserve"> complete the evaluation, </w:t>
      </w:r>
      <w:r w:rsidRPr="002979AD">
        <w:rPr>
          <w:rFonts w:eastAsia="Times New Roman" w:cs="Times New Roman"/>
          <w:sz w:val="20"/>
          <w:szCs w:val="24"/>
        </w:rPr>
        <w:t>claim</w:t>
      </w:r>
      <w:r>
        <w:rPr>
          <w:rFonts w:eastAsia="Times New Roman" w:cs="Times New Roman"/>
          <w:sz w:val="20"/>
          <w:szCs w:val="24"/>
        </w:rPr>
        <w:t xml:space="preserve"> credit</w:t>
      </w:r>
      <w:r w:rsidRPr="002979AD">
        <w:rPr>
          <w:rFonts w:eastAsia="Times New Roman" w:cs="Times New Roman"/>
          <w:sz w:val="20"/>
          <w:szCs w:val="24"/>
        </w:rPr>
        <w:t xml:space="preserve"> and view the statement of credit</w:t>
      </w:r>
      <w:r>
        <w:rPr>
          <w:rFonts w:eastAsia="Times New Roman" w:cs="Times New Roman"/>
          <w:sz w:val="20"/>
          <w:szCs w:val="24"/>
        </w:rPr>
        <w:t xml:space="preserve"> immediately after completing the activity</w:t>
      </w:r>
      <w:r w:rsidRPr="00E54F99">
        <w:rPr>
          <w:rFonts w:eastAsia="Times New Roman" w:cs="Times New Roman"/>
          <w:b/>
          <w:sz w:val="20"/>
          <w:szCs w:val="24"/>
        </w:rPr>
        <w:t>.</w:t>
      </w:r>
    </w:p>
    <w:p w14:paraId="11F944C7" w14:textId="77777777" w:rsidR="009C67ED" w:rsidRDefault="009C67ED" w:rsidP="009A55C3">
      <w:pPr>
        <w:rPr>
          <w:rFonts w:eastAsia="Times New Roman" w:cs="Times New Roman"/>
          <w:sz w:val="20"/>
          <w:szCs w:val="24"/>
        </w:rPr>
      </w:pPr>
    </w:p>
    <w:p w14:paraId="22D0423D" w14:textId="77777777" w:rsidR="009C67ED" w:rsidRPr="00E54F99" w:rsidRDefault="009C67ED" w:rsidP="009A55C3">
      <w:pPr>
        <w:rPr>
          <w:sz w:val="20"/>
        </w:rPr>
      </w:pPr>
      <w:r w:rsidRPr="002979AD">
        <w:rPr>
          <w:rFonts w:eastAsia="Times New Roman" w:cs="Times New Roman"/>
          <w:sz w:val="20"/>
          <w:szCs w:val="24"/>
        </w:rPr>
        <w:t>Per ACPE requirements, CPE credit must be claimed within 60 days of being earned</w:t>
      </w:r>
      <w:r>
        <w:rPr>
          <w:rFonts w:eastAsia="Times New Roman" w:cs="Times New Roman"/>
          <w:sz w:val="20"/>
          <w:szCs w:val="24"/>
        </w:rPr>
        <w:t xml:space="preserve">. </w:t>
      </w:r>
      <w:r w:rsidRPr="00E54F99">
        <w:rPr>
          <w:sz w:val="20"/>
        </w:rPr>
        <w:t xml:space="preserve">Claim your CE at </w:t>
      </w:r>
      <w:hyperlink r:id="rId11" w:history="1">
        <w:r w:rsidRPr="0097635C">
          <w:rPr>
            <w:rStyle w:val="Hyperlink"/>
            <w:sz w:val="20"/>
          </w:rPr>
          <w:t>http://elearning.ashp.org</w:t>
        </w:r>
      </w:hyperlink>
      <w:r w:rsidRPr="00E54F99">
        <w:rPr>
          <w:sz w:val="20"/>
        </w:rPr>
        <w:t>.</w:t>
      </w:r>
      <w:r>
        <w:rPr>
          <w:sz w:val="20"/>
        </w:rPr>
        <w:t xml:space="preserve"> </w:t>
      </w:r>
      <w:r w:rsidRPr="00E54F99">
        <w:rPr>
          <w:sz w:val="20"/>
        </w:rPr>
        <w:t xml:space="preserve">Once you have processed and claimed your CE credit, we </w:t>
      </w:r>
      <w:r>
        <w:rPr>
          <w:sz w:val="20"/>
        </w:rPr>
        <w:t>encourage you to c</w:t>
      </w:r>
      <w:r w:rsidRPr="00E54F99">
        <w:rPr>
          <w:sz w:val="20"/>
        </w:rPr>
        <w:t xml:space="preserve">heck your NABP </w:t>
      </w:r>
      <w:proofErr w:type="spellStart"/>
      <w:r w:rsidRPr="00E54F99">
        <w:rPr>
          <w:sz w:val="20"/>
        </w:rPr>
        <w:t>eProfile</w:t>
      </w:r>
      <w:proofErr w:type="spellEnd"/>
      <w:r w:rsidRPr="00E54F99">
        <w:rPr>
          <w:sz w:val="20"/>
        </w:rPr>
        <w:t xml:space="preserve"> account to verify your credits were transferred successfully before the ACPE 60-day deadline. It is an electronic direct-report process so your credits should appear in your account within a few minutes</w:t>
      </w:r>
      <w:r>
        <w:rPr>
          <w:sz w:val="20"/>
        </w:rPr>
        <w:t xml:space="preserve">. </w:t>
      </w:r>
      <w:r w:rsidRPr="00E54F99">
        <w:rPr>
          <w:sz w:val="20"/>
        </w:rPr>
        <w:t>After the 60 day deadline, ASHP will no longer be able to report your credit(s) for this activity.</w:t>
      </w:r>
    </w:p>
    <w:p w14:paraId="24641FF2" w14:textId="77777777" w:rsidR="00E54F99" w:rsidRDefault="00E54F99" w:rsidP="009A55C3"/>
    <w:p w14:paraId="1BEBACD7" w14:textId="77777777" w:rsidR="004B517F" w:rsidRPr="00301827" w:rsidRDefault="00301827" w:rsidP="009A55C3">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1BEBACD8" w14:textId="6F73EB28" w:rsidR="004B517F" w:rsidRPr="005B4B9D" w:rsidRDefault="004B517F" w:rsidP="009A55C3">
      <w:pPr>
        <w:rPr>
          <w:rFonts w:eastAsia="Times New Roman" w:cs="Times New Roman"/>
          <w:sz w:val="20"/>
          <w:szCs w:val="20"/>
          <w:lang w:val="en"/>
        </w:rPr>
      </w:pPr>
      <w:r w:rsidRPr="005B4B9D">
        <w:rPr>
          <w:rFonts w:eastAsia="Times New Roman" w:cs="Times New Roman"/>
          <w:sz w:val="20"/>
          <w:szCs w:val="20"/>
          <w:lang w:val="en"/>
        </w:rPr>
        <w:t xml:space="preserve">Courses and learning activities are delivered via your Web browser and Acrobat PDF. </w:t>
      </w:r>
      <w:r w:rsidR="007E0688">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w:t>
      </w:r>
      <w:r w:rsidR="00CA4951">
        <w:rPr>
          <w:rFonts w:eastAsia="Times New Roman" w:cs="Times New Roman"/>
          <w:sz w:val="20"/>
          <w:szCs w:val="20"/>
          <w:lang w:val="en"/>
        </w:rPr>
        <w:t>puter and navigating web sites.</w:t>
      </w:r>
    </w:p>
    <w:p w14:paraId="1BEBACD9" w14:textId="77777777" w:rsidR="004B517F" w:rsidRPr="005B4B9D" w:rsidRDefault="004B517F" w:rsidP="009A55C3">
      <w:pPr>
        <w:rPr>
          <w:rFonts w:eastAsia="Times New Roman" w:cs="Times New Roman"/>
          <w:sz w:val="20"/>
          <w:szCs w:val="20"/>
          <w:lang w:val="en"/>
        </w:rPr>
      </w:pPr>
    </w:p>
    <w:p w14:paraId="1BEBACE2" w14:textId="5CA94000" w:rsidR="002C0A14" w:rsidRPr="002979AD" w:rsidRDefault="004B517F" w:rsidP="009A55C3">
      <w:pPr>
        <w:rPr>
          <w:rFonts w:eastAsia="Times New Roman" w:cs="Times New Roman"/>
          <w:sz w:val="20"/>
          <w:szCs w:val="20"/>
          <w:lang w:val="en"/>
        </w:rPr>
      </w:pPr>
      <w:r w:rsidRPr="005B4B9D">
        <w:rPr>
          <w:rFonts w:eastAsia="Times New Roman" w:cs="Times New Roman"/>
          <w:sz w:val="20"/>
          <w:szCs w:val="20"/>
          <w:lang w:val="en"/>
        </w:rPr>
        <w:t xml:space="preserve">View the </w:t>
      </w:r>
      <w:hyperlink r:id="rId12" w:history="1">
        <w:r w:rsidRPr="005B4B9D">
          <w:rPr>
            <w:rFonts w:eastAsia="Times New Roman" w:cs="Times New Roman"/>
            <w:color w:val="0000FF" w:themeColor="hyperlink"/>
            <w:sz w:val="20"/>
            <w:szCs w:val="20"/>
            <w:u w:val="single"/>
            <w:lang w:val="en"/>
          </w:rPr>
          <w:t>minimum technical and system requirements</w:t>
        </w:r>
      </w:hyperlink>
      <w:r w:rsidR="00CA4951">
        <w:rPr>
          <w:rFonts w:eastAsia="Times New Roman" w:cs="Times New Roman"/>
          <w:sz w:val="20"/>
          <w:szCs w:val="20"/>
          <w:lang w:val="en"/>
        </w:rPr>
        <w:t xml:space="preserve"> for learning activities.</w:t>
      </w:r>
    </w:p>
    <w:p w14:paraId="5DF4F6E8" w14:textId="77777777" w:rsidR="00440A57" w:rsidRDefault="00440A57" w:rsidP="009A55C3">
      <w:pPr>
        <w:rPr>
          <w:rFonts w:eastAsia="Times New Roman" w:cs="Times New Roman"/>
          <w:bCs/>
          <w:sz w:val="20"/>
          <w:szCs w:val="20"/>
        </w:rPr>
      </w:pPr>
    </w:p>
    <w:sectPr w:rsidR="00440A57" w:rsidSect="00EC7A15">
      <w:headerReference w:type="default" r:id="rId13"/>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EDF9C" w14:textId="77777777" w:rsidR="001050D5" w:rsidRDefault="001050D5" w:rsidP="00773422">
      <w:r>
        <w:separator/>
      </w:r>
    </w:p>
  </w:endnote>
  <w:endnote w:type="continuationSeparator" w:id="0">
    <w:p w14:paraId="4A4CA161" w14:textId="77777777" w:rsidR="001050D5" w:rsidRDefault="001050D5"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5CEB" w14:textId="77777777" w:rsidR="001050D5" w:rsidRDefault="001050D5" w:rsidP="00773422">
      <w:r>
        <w:separator/>
      </w:r>
    </w:p>
  </w:footnote>
  <w:footnote w:type="continuationSeparator" w:id="0">
    <w:p w14:paraId="139D8B4F" w14:textId="77777777" w:rsidR="001050D5" w:rsidRDefault="001050D5"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CE9" w14:textId="7227D53D" w:rsidR="001B1D7B" w:rsidRDefault="00B02F7C" w:rsidP="00B02F7C">
    <w:pPr>
      <w:rPr>
        <w:b/>
      </w:rPr>
    </w:pPr>
    <w:r>
      <w:rPr>
        <w:rFonts w:ascii="Arial" w:hAnsi="Arial" w:cs="Arial"/>
        <w:b/>
        <w:noProof/>
        <w:sz w:val="24"/>
        <w:szCs w:val="24"/>
      </w:rPr>
      <w:drawing>
        <wp:inline distT="0" distB="0" distL="0" distR="0" wp14:anchorId="7D2C7A58" wp14:editId="2E5E8578">
          <wp:extent cx="2162175" cy="54870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03" cy="553537"/>
                  </a:xfrm>
                  <a:prstGeom prst="rect">
                    <a:avLst/>
                  </a:prstGeom>
                  <a:noFill/>
                  <a:ln>
                    <a:noFill/>
                  </a:ln>
                </pic:spPr>
              </pic:pic>
            </a:graphicData>
          </a:graphic>
        </wp:inline>
      </w:drawing>
    </w:r>
  </w:p>
  <w:p w14:paraId="1BEBACEA" w14:textId="77777777" w:rsidR="001B1D7B" w:rsidRDefault="001B1D7B" w:rsidP="00773422">
    <w:pPr>
      <w:jc w:val="center"/>
      <w:rPr>
        <w:b/>
      </w:rPr>
    </w:pPr>
  </w:p>
  <w:p w14:paraId="1BEBACEB" w14:textId="09A98E61" w:rsidR="001B1D7B" w:rsidRDefault="001B1D7B" w:rsidP="00773422">
    <w:pPr>
      <w:jc w:val="center"/>
      <w:rPr>
        <w:b/>
      </w:rPr>
    </w:pPr>
    <w:r w:rsidRPr="00773422">
      <w:rPr>
        <w:b/>
      </w:rPr>
      <w:t xml:space="preserve">Activity Announcement </w:t>
    </w:r>
  </w:p>
  <w:p w14:paraId="1BEBACEC" w14:textId="77777777" w:rsidR="001B1D7B" w:rsidRPr="00773422" w:rsidRDefault="001B1D7B"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D69"/>
    <w:multiLevelType w:val="hybridMultilevel"/>
    <w:tmpl w:val="7E76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845"/>
    <w:multiLevelType w:val="hybridMultilevel"/>
    <w:tmpl w:val="39A24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D37BE"/>
    <w:multiLevelType w:val="hybridMultilevel"/>
    <w:tmpl w:val="448A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D017D"/>
    <w:multiLevelType w:val="hybridMultilevel"/>
    <w:tmpl w:val="72CEE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442C30"/>
    <w:multiLevelType w:val="hybridMultilevel"/>
    <w:tmpl w:val="B07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E60DA"/>
    <w:multiLevelType w:val="hybridMultilevel"/>
    <w:tmpl w:val="A688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4255F"/>
    <w:multiLevelType w:val="hybridMultilevel"/>
    <w:tmpl w:val="AC9A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60265"/>
    <w:multiLevelType w:val="hybridMultilevel"/>
    <w:tmpl w:val="25D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73AC9"/>
    <w:multiLevelType w:val="hybridMultilevel"/>
    <w:tmpl w:val="046C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60A6"/>
    <w:multiLevelType w:val="hybridMultilevel"/>
    <w:tmpl w:val="3A1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71A5D"/>
    <w:multiLevelType w:val="hybridMultilevel"/>
    <w:tmpl w:val="55EED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D402C2"/>
    <w:multiLevelType w:val="hybridMultilevel"/>
    <w:tmpl w:val="102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624B1"/>
    <w:multiLevelType w:val="hybridMultilevel"/>
    <w:tmpl w:val="87FAEC26"/>
    <w:lvl w:ilvl="0" w:tplc="A468CA6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F7E4C"/>
    <w:multiLevelType w:val="hybridMultilevel"/>
    <w:tmpl w:val="13AAD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F706B3"/>
    <w:multiLevelType w:val="hybridMultilevel"/>
    <w:tmpl w:val="3F5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9778A"/>
    <w:multiLevelType w:val="hybridMultilevel"/>
    <w:tmpl w:val="77C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35B8"/>
    <w:multiLevelType w:val="hybridMultilevel"/>
    <w:tmpl w:val="A4C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37BC2"/>
    <w:multiLevelType w:val="hybridMultilevel"/>
    <w:tmpl w:val="2BA24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73067B"/>
    <w:multiLevelType w:val="hybridMultilevel"/>
    <w:tmpl w:val="5F32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2AC5"/>
    <w:multiLevelType w:val="hybridMultilevel"/>
    <w:tmpl w:val="E03C23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4822083"/>
    <w:multiLevelType w:val="hybridMultilevel"/>
    <w:tmpl w:val="D73E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56589"/>
    <w:multiLevelType w:val="hybridMultilevel"/>
    <w:tmpl w:val="533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15"/>
  </w:num>
  <w:num w:numId="5">
    <w:abstractNumId w:val="9"/>
  </w:num>
  <w:num w:numId="6">
    <w:abstractNumId w:val="10"/>
  </w:num>
  <w:num w:numId="7">
    <w:abstractNumId w:val="22"/>
  </w:num>
  <w:num w:numId="8">
    <w:abstractNumId w:val="0"/>
  </w:num>
  <w:num w:numId="9">
    <w:abstractNumId w:val="18"/>
  </w:num>
  <w:num w:numId="10">
    <w:abstractNumId w:val="1"/>
  </w:num>
  <w:num w:numId="11">
    <w:abstractNumId w:val="8"/>
  </w:num>
  <w:num w:numId="12">
    <w:abstractNumId w:val="12"/>
  </w:num>
  <w:num w:numId="13">
    <w:abstractNumId w:val="3"/>
  </w:num>
  <w:num w:numId="14">
    <w:abstractNumId w:val="11"/>
  </w:num>
  <w:num w:numId="15">
    <w:abstractNumId w:val="14"/>
  </w:num>
  <w:num w:numId="16">
    <w:abstractNumId w:val="16"/>
  </w:num>
  <w:num w:numId="17">
    <w:abstractNumId w:val="20"/>
  </w:num>
  <w:num w:numId="18">
    <w:abstractNumId w:val="21"/>
  </w:num>
  <w:num w:numId="19">
    <w:abstractNumId w:val="19"/>
  </w:num>
  <w:num w:numId="20">
    <w:abstractNumId w:val="4"/>
  </w:num>
  <w:num w:numId="21">
    <w:abstractNumId w:val="2"/>
  </w:num>
  <w:num w:numId="22">
    <w:abstractNumId w:val="5"/>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2F02"/>
    <w:rsid w:val="0000662F"/>
    <w:rsid w:val="00012D16"/>
    <w:rsid w:val="00021046"/>
    <w:rsid w:val="000272F8"/>
    <w:rsid w:val="00035687"/>
    <w:rsid w:val="00062EDF"/>
    <w:rsid w:val="00065CB1"/>
    <w:rsid w:val="00077D03"/>
    <w:rsid w:val="000A0CE6"/>
    <w:rsid w:val="000B4307"/>
    <w:rsid w:val="000E00D4"/>
    <w:rsid w:val="000E06A5"/>
    <w:rsid w:val="000E77CA"/>
    <w:rsid w:val="001050D5"/>
    <w:rsid w:val="00160029"/>
    <w:rsid w:val="00166D78"/>
    <w:rsid w:val="0017793C"/>
    <w:rsid w:val="001B1D7B"/>
    <w:rsid w:val="001E16B0"/>
    <w:rsid w:val="001E1B42"/>
    <w:rsid w:val="001E7324"/>
    <w:rsid w:val="001F512E"/>
    <w:rsid w:val="002357BD"/>
    <w:rsid w:val="0024102D"/>
    <w:rsid w:val="00246F52"/>
    <w:rsid w:val="00257099"/>
    <w:rsid w:val="002608E4"/>
    <w:rsid w:val="00281F6E"/>
    <w:rsid w:val="002979AD"/>
    <w:rsid w:val="002A3214"/>
    <w:rsid w:val="002C0A14"/>
    <w:rsid w:val="002D2C9E"/>
    <w:rsid w:val="00301827"/>
    <w:rsid w:val="003208E9"/>
    <w:rsid w:val="003213A3"/>
    <w:rsid w:val="00324D85"/>
    <w:rsid w:val="003329FA"/>
    <w:rsid w:val="00332E8A"/>
    <w:rsid w:val="00335436"/>
    <w:rsid w:val="00346F7D"/>
    <w:rsid w:val="00364723"/>
    <w:rsid w:val="00370108"/>
    <w:rsid w:val="00381D7A"/>
    <w:rsid w:val="00395F29"/>
    <w:rsid w:val="003A5292"/>
    <w:rsid w:val="003C74D3"/>
    <w:rsid w:val="00412E49"/>
    <w:rsid w:val="00440A57"/>
    <w:rsid w:val="004420FC"/>
    <w:rsid w:val="004750A2"/>
    <w:rsid w:val="004949D2"/>
    <w:rsid w:val="004A3184"/>
    <w:rsid w:val="004B517F"/>
    <w:rsid w:val="004C3DF0"/>
    <w:rsid w:val="004D6B73"/>
    <w:rsid w:val="004F60AE"/>
    <w:rsid w:val="005028B8"/>
    <w:rsid w:val="00531715"/>
    <w:rsid w:val="00573042"/>
    <w:rsid w:val="00595FB7"/>
    <w:rsid w:val="005A3A24"/>
    <w:rsid w:val="005B4B9D"/>
    <w:rsid w:val="005D3D3F"/>
    <w:rsid w:val="005D498D"/>
    <w:rsid w:val="005D4E24"/>
    <w:rsid w:val="005E53B6"/>
    <w:rsid w:val="005E6078"/>
    <w:rsid w:val="00623682"/>
    <w:rsid w:val="00627A30"/>
    <w:rsid w:val="006335A5"/>
    <w:rsid w:val="00666D01"/>
    <w:rsid w:val="00671136"/>
    <w:rsid w:val="00683F14"/>
    <w:rsid w:val="006A2904"/>
    <w:rsid w:val="006A4236"/>
    <w:rsid w:val="006A4599"/>
    <w:rsid w:val="006B64BB"/>
    <w:rsid w:val="00704651"/>
    <w:rsid w:val="00721FDA"/>
    <w:rsid w:val="00742A07"/>
    <w:rsid w:val="007504E9"/>
    <w:rsid w:val="007547C9"/>
    <w:rsid w:val="00773422"/>
    <w:rsid w:val="007835DA"/>
    <w:rsid w:val="0079187F"/>
    <w:rsid w:val="0079483B"/>
    <w:rsid w:val="007A3C19"/>
    <w:rsid w:val="007C5E91"/>
    <w:rsid w:val="007E0688"/>
    <w:rsid w:val="007E1E9C"/>
    <w:rsid w:val="007E4A67"/>
    <w:rsid w:val="007E52D6"/>
    <w:rsid w:val="00801C0D"/>
    <w:rsid w:val="00802F80"/>
    <w:rsid w:val="00803A37"/>
    <w:rsid w:val="008166DC"/>
    <w:rsid w:val="00824CCA"/>
    <w:rsid w:val="0083545B"/>
    <w:rsid w:val="00842123"/>
    <w:rsid w:val="00843080"/>
    <w:rsid w:val="008669F1"/>
    <w:rsid w:val="00866FE2"/>
    <w:rsid w:val="008749DE"/>
    <w:rsid w:val="0087531C"/>
    <w:rsid w:val="00880592"/>
    <w:rsid w:val="00886B7B"/>
    <w:rsid w:val="00890ECC"/>
    <w:rsid w:val="008B1876"/>
    <w:rsid w:val="008B21D4"/>
    <w:rsid w:val="008C02E5"/>
    <w:rsid w:val="008C5741"/>
    <w:rsid w:val="008E29A0"/>
    <w:rsid w:val="008F1107"/>
    <w:rsid w:val="008F39EA"/>
    <w:rsid w:val="00912F3D"/>
    <w:rsid w:val="0091747F"/>
    <w:rsid w:val="0092465E"/>
    <w:rsid w:val="00952881"/>
    <w:rsid w:val="009530E5"/>
    <w:rsid w:val="00953C36"/>
    <w:rsid w:val="00965DC1"/>
    <w:rsid w:val="0098287C"/>
    <w:rsid w:val="009A21BC"/>
    <w:rsid w:val="009A55C3"/>
    <w:rsid w:val="009B1828"/>
    <w:rsid w:val="009B206A"/>
    <w:rsid w:val="009C67ED"/>
    <w:rsid w:val="009F3702"/>
    <w:rsid w:val="009F3FB5"/>
    <w:rsid w:val="00A02D70"/>
    <w:rsid w:val="00A42BE4"/>
    <w:rsid w:val="00A5228B"/>
    <w:rsid w:val="00A61152"/>
    <w:rsid w:val="00A752E2"/>
    <w:rsid w:val="00A75B1A"/>
    <w:rsid w:val="00AB332B"/>
    <w:rsid w:val="00AB440F"/>
    <w:rsid w:val="00AF562B"/>
    <w:rsid w:val="00B02F7C"/>
    <w:rsid w:val="00B03E01"/>
    <w:rsid w:val="00B21812"/>
    <w:rsid w:val="00B22345"/>
    <w:rsid w:val="00B33610"/>
    <w:rsid w:val="00B3455A"/>
    <w:rsid w:val="00B52260"/>
    <w:rsid w:val="00B745C3"/>
    <w:rsid w:val="00B80369"/>
    <w:rsid w:val="00B80772"/>
    <w:rsid w:val="00B8674A"/>
    <w:rsid w:val="00B87453"/>
    <w:rsid w:val="00B95F1D"/>
    <w:rsid w:val="00BB6E1E"/>
    <w:rsid w:val="00BD6282"/>
    <w:rsid w:val="00BD6CB1"/>
    <w:rsid w:val="00BD7059"/>
    <w:rsid w:val="00BF4FCF"/>
    <w:rsid w:val="00C0615B"/>
    <w:rsid w:val="00C10720"/>
    <w:rsid w:val="00C129B3"/>
    <w:rsid w:val="00C14F0F"/>
    <w:rsid w:val="00C277B5"/>
    <w:rsid w:val="00C312D4"/>
    <w:rsid w:val="00C33838"/>
    <w:rsid w:val="00C45900"/>
    <w:rsid w:val="00C6084E"/>
    <w:rsid w:val="00C66F27"/>
    <w:rsid w:val="00C67B0F"/>
    <w:rsid w:val="00C70F1D"/>
    <w:rsid w:val="00C7725B"/>
    <w:rsid w:val="00C85A84"/>
    <w:rsid w:val="00CA4951"/>
    <w:rsid w:val="00CA6C4E"/>
    <w:rsid w:val="00CD1CED"/>
    <w:rsid w:val="00D2409A"/>
    <w:rsid w:val="00D3112D"/>
    <w:rsid w:val="00D6640F"/>
    <w:rsid w:val="00D76EB5"/>
    <w:rsid w:val="00DE1419"/>
    <w:rsid w:val="00DF3042"/>
    <w:rsid w:val="00DF4F48"/>
    <w:rsid w:val="00E129DF"/>
    <w:rsid w:val="00E23129"/>
    <w:rsid w:val="00E26090"/>
    <w:rsid w:val="00E433E0"/>
    <w:rsid w:val="00E54F99"/>
    <w:rsid w:val="00E939EC"/>
    <w:rsid w:val="00EB107F"/>
    <w:rsid w:val="00EB739B"/>
    <w:rsid w:val="00EC2B69"/>
    <w:rsid w:val="00EC4D16"/>
    <w:rsid w:val="00EC7A15"/>
    <w:rsid w:val="00EF4B97"/>
    <w:rsid w:val="00F0220E"/>
    <w:rsid w:val="00F04215"/>
    <w:rsid w:val="00F068D2"/>
    <w:rsid w:val="00F4650B"/>
    <w:rsid w:val="00F529A1"/>
    <w:rsid w:val="00F86508"/>
    <w:rsid w:val="00FC1477"/>
    <w:rsid w:val="00FC49C7"/>
    <w:rsid w:val="00FC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AC97"/>
  <w15:docId w15:val="{21CA0D62-6E8A-4AD5-8A6A-5F5F519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character" w:styleId="Hyperlink">
    <w:name w:val="Hyperlink"/>
    <w:basedOn w:val="DefaultParagraphFont"/>
    <w:uiPriority w:val="99"/>
    <w:unhideWhenUsed/>
    <w:rsid w:val="005B4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1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learning.ashp.org/get-star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earning.ash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s_x0020_Form xmlns="bb4731e0-5e6f-40a6-b279-438d5460224f">Yes</Is_x0020_Form>
    <Category xmlns="bb4731e0-5e6f-40a6-b279-438d5460224f">Educational Services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CD4924910916458E7A2F985EF558BC" ma:contentTypeVersion="3" ma:contentTypeDescription="Create a new document." ma:contentTypeScope="" ma:versionID="003df45014badefbea94ca9ebf7f588a">
  <xsd:schema xmlns:xsd="http://www.w3.org/2001/XMLSchema" xmlns:p="http://schemas.microsoft.com/office/2006/metadata/properties" xmlns:ns2="bb4731e0-5e6f-40a6-b279-438d5460224f" targetNamespace="http://schemas.microsoft.com/office/2006/metadata/properties" ma:root="true" ma:fieldsID="9dcae1c920ee8da0883411d1f70ee7aa" ns2:_="">
    <xsd:import namespace="bb4731e0-5e6f-40a6-b279-438d5460224f"/>
    <xsd:element name="properties">
      <xsd:complexType>
        <xsd:sequence>
          <xsd:element name="documentManagement">
            <xsd:complexType>
              <xsd:all>
                <xsd:element ref="ns2:Category"/>
                <xsd:element ref="ns2:Is_x0020_Form"/>
              </xsd:all>
            </xsd:complexType>
          </xsd:element>
        </xsd:sequence>
      </xsd:complexType>
    </xsd:element>
  </xsd:schema>
  <xsd:schema xmlns:xsd="http://www.w3.org/2001/XMLSchema" xmlns:dms="http://schemas.microsoft.com/office/2006/documentManagement/types" targetNamespace="bb4731e0-5e6f-40a6-b279-438d5460224f" elementFormDefault="qualified">
    <xsd:import namespace="http://schemas.microsoft.com/office/2006/documentManagement/types"/>
    <xsd:element name="Category" ma:index="8" ma:displayName="Category" ma:default="About Us" ma:description="Category" ma:format="Dropdown" ma:internalName="Category">
      <xsd:simpleType>
        <xsd:restriction base="dms:Choice">
          <xsd:enumeration value="About Us"/>
          <xsd:enumeration value="Educational Services"/>
          <xsd:enumeration value="Facilities"/>
          <xsd:enumeration value="Financial"/>
          <xsd:enumeration value="Foundation"/>
          <xsd:enumeration value="Green Committee"/>
          <xsd:enumeration value="Help/Support"/>
          <xsd:enumeration value="HR/Personnel"/>
          <xsd:enumeration value="Legal"/>
          <xsd:enumeration value="Library/Publications"/>
          <xsd:enumeration value="Materials Management"/>
          <xsd:enumeration value="Meetings and Travel"/>
          <xsd:enumeration value="Membership"/>
          <xsd:enumeration value="Operations/Technology"/>
          <xsd:enumeration value="Project Documents"/>
          <xsd:enumeration value="Software Catalog"/>
          <xsd:enumeration value="Staff Presentations"/>
          <xsd:enumeration value="Training"/>
          <xsd:enumeration value="Web"/>
          <xsd:enumeration value="Miscellaneous"/>
        </xsd:restriction>
      </xsd:simpleType>
    </xsd:element>
    <xsd:element name="Is_x0020_Form" ma:index="9" ma:displayName="Is Form" ma:default="No" ma:description="Sets value for is the document a form" ma:format="RadioButtons" ma:internalName="Is_x0020_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9F33FF-02BA-4024-A95E-A05DA481242B}">
  <ds:schemaRefs>
    <ds:schemaRef ds:uri="http://schemas.microsoft.com/office/2006/metadata/properties"/>
    <ds:schemaRef ds:uri="bb4731e0-5e6f-40a6-b279-438d5460224f"/>
  </ds:schemaRefs>
</ds:datastoreItem>
</file>

<file path=customXml/itemProps2.xml><?xml version="1.0" encoding="utf-8"?>
<ds:datastoreItem xmlns:ds="http://schemas.openxmlformats.org/officeDocument/2006/customXml" ds:itemID="{F03C2004-A2B2-4618-9E29-3D5B00707411}">
  <ds:schemaRefs>
    <ds:schemaRef ds:uri="http://schemas.microsoft.com/sharepoint/v3/contenttype/forms"/>
  </ds:schemaRefs>
</ds:datastoreItem>
</file>

<file path=customXml/itemProps3.xml><?xml version="1.0" encoding="utf-8"?>
<ds:datastoreItem xmlns:ds="http://schemas.openxmlformats.org/officeDocument/2006/customXml" ds:itemID="{8C3CD60F-49D6-4A05-8A33-9511B263F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731e0-5e6f-40a6-b279-438d546022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 Activity Announcement Template</vt:lpstr>
    </vt:vector>
  </TitlesOfParts>
  <Company>American Society of Health-System Pharmacists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Activity Announcement Template</dc:title>
  <dc:creator>Louise Maitland</dc:creator>
  <cp:lastModifiedBy>Bethany Hart</cp:lastModifiedBy>
  <cp:revision>2</cp:revision>
  <cp:lastPrinted>2014-07-24T17:07:00Z</cp:lastPrinted>
  <dcterms:created xsi:type="dcterms:W3CDTF">2019-05-14T20:53:00Z</dcterms:created>
  <dcterms:modified xsi:type="dcterms:W3CDTF">2019-05-14T20:53:00Z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0x01010028CD4924910916458E7A2F985EF558BC</vt:lpwstr>
  </property>
</Properties>
</file>