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806BC4">
        <w:rPr>
          <w:rFonts w:cstheme="minorHAnsi"/>
          <w:b/>
          <w:color w:val="000099"/>
          <w:sz w:val="24"/>
          <w:szCs w:val="24"/>
        </w:rPr>
        <w:t xml:space="preserve">: </w:t>
      </w:r>
      <w:r w:rsidR="00F07AA6" w:rsidRPr="00F07AA6">
        <w:rPr>
          <w:rFonts w:cstheme="minorHAnsi"/>
          <w:b/>
          <w:color w:val="000099"/>
          <w:sz w:val="24"/>
          <w:szCs w:val="24"/>
        </w:rPr>
        <w:t>Clinical Application of Pharmacogenomics Part II</w:t>
      </w:r>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EE788D" w:rsidRDefault="00A65745" w:rsidP="008314D2">
      <w:pPr>
        <w:rPr>
          <w:rFonts w:cstheme="minorHAnsi"/>
        </w:rPr>
      </w:pPr>
      <w:r w:rsidRPr="00A65745">
        <w:rPr>
          <w:rFonts w:cstheme="minorHAnsi"/>
        </w:rPr>
        <w:t>Activity Type: Application-based</w:t>
      </w:r>
    </w:p>
    <w:p w:rsidR="00A65745" w:rsidRPr="008314D2" w:rsidRDefault="00A65745"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bookmarkStart w:id="0" w:name="_GoBack"/>
      <w:bookmarkEnd w:id="0"/>
    </w:p>
    <w:p w:rsidR="0049172C" w:rsidRPr="008314D2" w:rsidRDefault="0049172C" w:rsidP="008314D2">
      <w:pPr>
        <w:rPr>
          <w:rFonts w:cstheme="minorHAnsi"/>
          <w:noProof/>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217C23" w:rsidRDefault="00217C23" w:rsidP="00217C23">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217C23" w:rsidRPr="008314D2" w:rsidTr="0080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F07AA6" w:rsidRPr="008314D2" w:rsidTr="0080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F07AA6" w:rsidRPr="008314D2" w:rsidRDefault="00F07AA6" w:rsidP="00F07AA6">
            <w:pPr>
              <w:rPr>
                <w:rFonts w:asciiTheme="minorHAnsi" w:eastAsia="Calibri" w:hAnsiTheme="minorHAnsi" w:cstheme="minorHAnsi"/>
              </w:rPr>
            </w:pPr>
            <w:r w:rsidRPr="008314D2">
              <w:rPr>
                <w:rFonts w:asciiTheme="minorHAnsi" w:eastAsia="Calibri" w:hAnsiTheme="minorHAnsi" w:cstheme="minorHAnsi"/>
                <w:b w:val="0"/>
              </w:rPr>
              <w:t>ACPE #:</w:t>
            </w:r>
            <w:r w:rsidRPr="008314D2">
              <w:rPr>
                <w:rFonts w:asciiTheme="minorHAnsi" w:eastAsia="Calibri" w:hAnsiTheme="minorHAnsi" w:cstheme="minorHAnsi"/>
              </w:rPr>
              <w:t xml:space="preserve"> </w:t>
            </w:r>
            <w:r w:rsidRPr="008314D2">
              <w:rPr>
                <w:rFonts w:asciiTheme="minorHAnsi" w:eastAsia="Calibri" w:hAnsiTheme="minorHAnsi" w:cstheme="minorHAnsi"/>
                <w:noProof/>
              </w:rPr>
              <w:t>0204-0000-18-747-H01-P</w:t>
            </w:r>
          </w:p>
          <w:p w:rsidR="00F07AA6" w:rsidRPr="008314D2" w:rsidRDefault="00F07AA6" w:rsidP="00F07AA6">
            <w:pPr>
              <w:rPr>
                <w:rFonts w:asciiTheme="minorHAnsi" w:eastAsia="Calibri" w:hAnsiTheme="minorHAnsi" w:cstheme="minorHAnsi"/>
              </w:rPr>
            </w:pPr>
          </w:p>
          <w:p w:rsidR="00F07AA6" w:rsidRPr="008314D2" w:rsidRDefault="00F07AA6" w:rsidP="00F07AA6">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rPr>
              <w:t xml:space="preserve"> </w:t>
            </w:r>
            <w:r w:rsidRPr="008314D2">
              <w:rPr>
                <w:rFonts w:asciiTheme="minorHAnsi" w:eastAsia="Calibri" w:hAnsiTheme="minorHAnsi" w:cstheme="minorHAnsi"/>
                <w:noProof/>
              </w:rPr>
              <w:t>2.0</w:t>
            </w:r>
          </w:p>
          <w:p w:rsidR="00F07AA6" w:rsidRPr="008314D2" w:rsidRDefault="00F07AA6" w:rsidP="00F07AA6">
            <w:pPr>
              <w:rPr>
                <w:rFonts w:asciiTheme="minorHAnsi" w:eastAsia="Calibri" w:hAnsiTheme="minorHAnsi" w:cstheme="minorHAnsi"/>
              </w:rPr>
            </w:pPr>
          </w:p>
          <w:p w:rsidR="00F07AA6" w:rsidRPr="008314D2" w:rsidRDefault="00F07AA6" w:rsidP="00F07AA6">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Application-based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F07AA6" w:rsidRPr="008314D2" w:rsidRDefault="00F07AA6" w:rsidP="00F07AA6">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Clinical Application of Pharmacogenomics Part II</w:t>
            </w:r>
          </w:p>
          <w:p w:rsidR="00F07AA6" w:rsidRPr="008314D2" w:rsidRDefault="00F07AA6" w:rsidP="00F07AA6">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8314D2">
              <w:rPr>
                <w:rFonts w:eastAsia="Calibri" w:cstheme="minorHAnsi"/>
                <w:noProof/>
              </w:rPr>
              <w:t>This activity covers the clinical application of pharmacogenomics in psychiatry, neurology, infectious disease, transplant, cystic fibrosis, and in allopurinol therapy.</w:t>
            </w:r>
          </w:p>
          <w:p w:rsidR="00F07AA6" w:rsidRPr="008314D2" w:rsidRDefault="00F07AA6" w:rsidP="00F07AA6">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F07AA6" w:rsidRPr="008314D2" w:rsidRDefault="00F07AA6" w:rsidP="00F07AA6">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Faculty: </w:t>
            </w:r>
          </w:p>
          <w:p w:rsidR="00F07AA6" w:rsidRPr="008314D2" w:rsidRDefault="00F07AA6" w:rsidP="00F07AA6">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Gillian Bell, </w:t>
            </w:r>
            <w:proofErr w:type="spellStart"/>
            <w:r w:rsidRPr="008314D2">
              <w:rPr>
                <w:rFonts w:cstheme="minorHAnsi"/>
                <w:b/>
                <w:iCs/>
              </w:rPr>
              <w:t>Pharm.D</w:t>
            </w:r>
            <w:proofErr w:type="spellEnd"/>
            <w:r w:rsidRPr="008314D2">
              <w:rPr>
                <w:rFonts w:cstheme="minorHAnsi"/>
                <w:b/>
                <w:iCs/>
              </w:rPr>
              <w:t xml:space="preserve">., </w:t>
            </w:r>
            <w:r w:rsidRPr="008314D2">
              <w:rPr>
                <w:rFonts w:cstheme="minorHAnsi"/>
                <w:iCs/>
              </w:rPr>
              <w:t xml:space="preserve">Mission Health, UNC </w:t>
            </w:r>
            <w:proofErr w:type="spellStart"/>
            <w:r w:rsidRPr="008314D2">
              <w:rPr>
                <w:rFonts w:cstheme="minorHAnsi"/>
                <w:iCs/>
              </w:rPr>
              <w:t>Eshelman</w:t>
            </w:r>
            <w:proofErr w:type="spellEnd"/>
            <w:r w:rsidRPr="008314D2">
              <w:rPr>
                <w:rFonts w:cstheme="minorHAnsi"/>
                <w:iCs/>
              </w:rPr>
              <w:t xml:space="preserve"> School of Pharmacy, Asheville, North Carolina</w:t>
            </w:r>
          </w:p>
          <w:p w:rsidR="00F07AA6" w:rsidRPr="008314D2" w:rsidRDefault="00F07AA6" w:rsidP="00F07AA6">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Cyrine-Eliana Haidar, </w:t>
            </w:r>
            <w:proofErr w:type="spellStart"/>
            <w:r w:rsidRPr="008314D2">
              <w:rPr>
                <w:rFonts w:cstheme="minorHAnsi"/>
                <w:b/>
                <w:iCs/>
              </w:rPr>
              <w:t>Pharm.D</w:t>
            </w:r>
            <w:proofErr w:type="spellEnd"/>
            <w:r w:rsidRPr="008314D2">
              <w:rPr>
                <w:rFonts w:cstheme="minorHAnsi"/>
                <w:b/>
                <w:iCs/>
              </w:rPr>
              <w:t xml:space="preserve">., BCOP, BCPS, </w:t>
            </w:r>
            <w:r w:rsidRPr="008314D2">
              <w:rPr>
                <w:rFonts w:cstheme="minorHAnsi"/>
                <w:iCs/>
              </w:rPr>
              <w:t>St. Jude Children’s Research Hospital, Memphis, Tennessee</w:t>
            </w:r>
          </w:p>
          <w:p w:rsidR="00F07AA6" w:rsidRPr="008314D2" w:rsidRDefault="00F07AA6" w:rsidP="00F07AA6">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Laura B. Ramsey, Ph.D., </w:t>
            </w:r>
            <w:r w:rsidRPr="008314D2">
              <w:rPr>
                <w:rFonts w:cstheme="minorHAnsi"/>
                <w:iCs/>
              </w:rPr>
              <w:t>Cincinnati Children’s Hospital Medical Center, University of Cincinnati, Ohio</w:t>
            </w:r>
          </w:p>
          <w:p w:rsidR="00F07AA6" w:rsidRPr="008314D2" w:rsidRDefault="00F07AA6" w:rsidP="00F07AA6">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Dyson</w:t>
            </w:r>
            <w:r>
              <w:rPr>
                <w:rFonts w:cstheme="minorHAnsi"/>
                <w:b/>
                <w:iCs/>
              </w:rPr>
              <w:t xml:space="preserve"> T. Wake, </w:t>
            </w:r>
            <w:proofErr w:type="spellStart"/>
            <w:r>
              <w:rPr>
                <w:rFonts w:cstheme="minorHAnsi"/>
                <w:b/>
                <w:iCs/>
              </w:rPr>
              <w:t>Pharm.</w:t>
            </w:r>
            <w:r w:rsidRPr="008314D2">
              <w:rPr>
                <w:rFonts w:cstheme="minorHAnsi"/>
                <w:b/>
                <w:iCs/>
              </w:rPr>
              <w:t>D</w:t>
            </w:r>
            <w:proofErr w:type="spellEnd"/>
            <w:r w:rsidRPr="008314D2">
              <w:rPr>
                <w:rFonts w:cstheme="minorHAnsi"/>
                <w:b/>
                <w:iCs/>
              </w:rPr>
              <w:t xml:space="preserve">., BCPS, </w:t>
            </w:r>
            <w:proofErr w:type="spellStart"/>
            <w:r w:rsidRPr="008314D2">
              <w:rPr>
                <w:rFonts w:cstheme="minorHAnsi"/>
                <w:iCs/>
              </w:rPr>
              <w:t>NorthShore</w:t>
            </w:r>
            <w:proofErr w:type="spellEnd"/>
            <w:r w:rsidRPr="008314D2">
              <w:rPr>
                <w:rFonts w:cstheme="minorHAnsi"/>
                <w:iCs/>
              </w:rPr>
              <w:t xml:space="preserve"> University </w:t>
            </w:r>
            <w:proofErr w:type="spellStart"/>
            <w:r w:rsidRPr="008314D2">
              <w:rPr>
                <w:rFonts w:cstheme="minorHAnsi"/>
                <w:iCs/>
              </w:rPr>
              <w:t>HealthSystem</w:t>
            </w:r>
            <w:proofErr w:type="spellEnd"/>
            <w:r w:rsidRPr="008314D2">
              <w:rPr>
                <w:rFonts w:cstheme="minorHAnsi"/>
                <w:iCs/>
              </w:rPr>
              <w:t>, Evanston, Illinois</w:t>
            </w:r>
          </w:p>
          <w:p w:rsidR="00F07AA6" w:rsidRPr="008314D2" w:rsidRDefault="00F07AA6" w:rsidP="00F07AA6">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F07AA6" w:rsidRPr="008314D2" w:rsidRDefault="00F07AA6" w:rsidP="00F07AA6">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utility and considerations for pharmacogenomic testing in the selection and management of neuropsychiatric medications.</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Interpret evidence-based guidelines for C</w:t>
            </w:r>
            <w:r w:rsidRPr="00217C23">
              <w:rPr>
                <w:rFonts w:eastAsia="Calibri" w:cstheme="minorHAnsi"/>
                <w:i/>
                <w:noProof/>
              </w:rPr>
              <w:t>YP2D6</w:t>
            </w:r>
            <w:r w:rsidRPr="008314D2">
              <w:rPr>
                <w:rFonts w:eastAsia="Calibri" w:cstheme="minorHAnsi"/>
                <w:noProof/>
              </w:rPr>
              <w:t xml:space="preserve"> and </w:t>
            </w:r>
            <w:r w:rsidRPr="00217C23">
              <w:rPr>
                <w:rFonts w:eastAsia="Calibri" w:cstheme="minorHAnsi"/>
                <w:i/>
                <w:noProof/>
              </w:rPr>
              <w:t>CYP2C19</w:t>
            </w:r>
            <w:r w:rsidRPr="008314D2">
              <w:rPr>
                <w:rFonts w:eastAsia="Calibri" w:cstheme="minorHAnsi"/>
                <w:noProof/>
              </w:rPr>
              <w:t xml:space="preserve"> to guide antidepressant therapy, including selective serotonin reuptake inhibitors and tricyclic antidepressants.</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Apply </w:t>
            </w:r>
            <w:r w:rsidRPr="00217C23">
              <w:rPr>
                <w:rFonts w:eastAsia="Calibri" w:cstheme="minorHAnsi"/>
                <w:i/>
                <w:noProof/>
              </w:rPr>
              <w:t>CYP2D6</w:t>
            </w:r>
            <w:r w:rsidRPr="008314D2">
              <w:rPr>
                <w:rFonts w:eastAsia="Calibri" w:cstheme="minorHAnsi"/>
                <w:noProof/>
              </w:rPr>
              <w:t xml:space="preserve"> and </w:t>
            </w:r>
            <w:r w:rsidRPr="00217C23">
              <w:rPr>
                <w:rFonts w:eastAsia="Calibri" w:cstheme="minorHAnsi"/>
                <w:i/>
                <w:noProof/>
              </w:rPr>
              <w:t>CYP2C19</w:t>
            </w:r>
            <w:r w:rsidRPr="008314D2">
              <w:rPr>
                <w:rFonts w:eastAsia="Calibri" w:cstheme="minorHAnsi"/>
                <w:noProof/>
              </w:rPr>
              <w:t xml:space="preserve"> genotyping to individualize antidepressant dosing and selection.</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lastRenderedPageBreak/>
              <w:t xml:space="preserve">Describe patient populations where testing for </w:t>
            </w:r>
            <w:r w:rsidRPr="00217C23">
              <w:rPr>
                <w:rFonts w:eastAsia="Calibri" w:cstheme="minorHAnsi"/>
                <w:i/>
                <w:noProof/>
              </w:rPr>
              <w:t>HLA-B*15:02, HLA-A*31:01</w:t>
            </w:r>
            <w:r w:rsidRPr="008314D2">
              <w:rPr>
                <w:rFonts w:eastAsia="Calibri" w:cstheme="minorHAnsi"/>
                <w:noProof/>
              </w:rPr>
              <w:t xml:space="preserve">, or </w:t>
            </w:r>
            <w:r w:rsidRPr="00217C23">
              <w:rPr>
                <w:rFonts w:eastAsia="Calibri" w:cstheme="minorHAnsi"/>
                <w:i/>
                <w:noProof/>
              </w:rPr>
              <w:t>CYP2C9</w:t>
            </w:r>
            <w:r w:rsidRPr="008314D2">
              <w:rPr>
                <w:rFonts w:eastAsia="Calibri" w:cstheme="minorHAnsi"/>
                <w:noProof/>
              </w:rPr>
              <w:t xml:space="preserve"> may be best used to guide therapeutic decision making.</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Recognize how the results for </w:t>
            </w:r>
            <w:r w:rsidRPr="00217C23">
              <w:rPr>
                <w:rFonts w:eastAsia="Calibri" w:cstheme="minorHAnsi"/>
                <w:i/>
                <w:noProof/>
              </w:rPr>
              <w:t xml:space="preserve">HLA-B*15:02 </w:t>
            </w:r>
            <w:r w:rsidRPr="008314D2">
              <w:rPr>
                <w:rFonts w:eastAsia="Calibri" w:cstheme="minorHAnsi"/>
                <w:noProof/>
              </w:rPr>
              <w:t xml:space="preserve">and </w:t>
            </w:r>
            <w:r w:rsidRPr="00217C23">
              <w:rPr>
                <w:rFonts w:eastAsia="Calibri" w:cstheme="minorHAnsi"/>
                <w:i/>
                <w:noProof/>
              </w:rPr>
              <w:t xml:space="preserve">HLA-A*31:01 </w:t>
            </w:r>
            <w:r w:rsidRPr="008314D2">
              <w:rPr>
                <w:rFonts w:eastAsia="Calibri" w:cstheme="minorHAnsi"/>
                <w:noProof/>
              </w:rPr>
              <w:t xml:space="preserve">may differ in presentation from those of </w:t>
            </w:r>
            <w:r w:rsidRPr="00217C23">
              <w:rPr>
                <w:rFonts w:eastAsia="Calibri" w:cstheme="minorHAnsi"/>
                <w:i/>
                <w:noProof/>
              </w:rPr>
              <w:t>CYP2C9</w:t>
            </w:r>
            <w:r w:rsidRPr="008314D2">
              <w:rPr>
                <w:rFonts w:eastAsia="Calibri" w:cstheme="minorHAnsi"/>
                <w:noProof/>
              </w:rPr>
              <w:t>.</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Propose evidence-based recommendations for patients with </w:t>
            </w:r>
            <w:r w:rsidRPr="00217C23">
              <w:rPr>
                <w:rFonts w:eastAsia="Calibri" w:cstheme="minorHAnsi"/>
                <w:i/>
                <w:noProof/>
              </w:rPr>
              <w:t>HLA-B*15:02, HLA-A*31:01</w:t>
            </w:r>
            <w:r w:rsidRPr="008314D2">
              <w:rPr>
                <w:rFonts w:eastAsia="Calibri" w:cstheme="minorHAnsi"/>
                <w:noProof/>
              </w:rPr>
              <w:t xml:space="preserve">, or </w:t>
            </w:r>
            <w:r w:rsidRPr="00217C23">
              <w:rPr>
                <w:rFonts w:eastAsia="Calibri" w:cstheme="minorHAnsi"/>
                <w:i/>
                <w:noProof/>
              </w:rPr>
              <w:t>CYP2C9</w:t>
            </w:r>
            <w:r w:rsidRPr="008314D2">
              <w:rPr>
                <w:rFonts w:eastAsia="Calibri" w:cstheme="minorHAnsi"/>
                <w:noProof/>
              </w:rPr>
              <w:t xml:space="preserve"> genetic results considering antiepileptic therapy.</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utility of and considerations for pharmacogenomic testing in the selection and dosing of select antimicrobial agents.</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Interpret evidence-based guidelines to guide voriconazole therapy.</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Apply evidence-based guidelines to guide HIV drug selection.</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Interpret evidence-based guidelines for </w:t>
            </w:r>
            <w:r w:rsidRPr="00217C23">
              <w:rPr>
                <w:rFonts w:eastAsia="Calibri" w:cstheme="minorHAnsi"/>
                <w:i/>
                <w:noProof/>
              </w:rPr>
              <w:t>CYP3A5</w:t>
            </w:r>
            <w:r w:rsidRPr="008314D2">
              <w:rPr>
                <w:rFonts w:eastAsia="Calibri" w:cstheme="minorHAnsi"/>
                <w:noProof/>
              </w:rPr>
              <w:t xml:space="preserve"> to guide tacrolimus dosing.</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Recommend dosing adjustments for azathioprine in solid organ transplant recipients based on </w:t>
            </w:r>
            <w:r w:rsidRPr="00217C23">
              <w:rPr>
                <w:rFonts w:eastAsia="Calibri" w:cstheme="minorHAnsi"/>
                <w:i/>
                <w:noProof/>
              </w:rPr>
              <w:t>TPMT</w:t>
            </w:r>
            <w:r w:rsidRPr="008314D2">
              <w:rPr>
                <w:rFonts w:eastAsia="Calibri" w:cstheme="minorHAnsi"/>
                <w:noProof/>
              </w:rPr>
              <w:t xml:space="preserve"> and </w:t>
            </w:r>
            <w:r w:rsidRPr="00217C23">
              <w:rPr>
                <w:rFonts w:eastAsia="Calibri" w:cstheme="minorHAnsi"/>
                <w:i/>
                <w:noProof/>
              </w:rPr>
              <w:t>NUDT15</w:t>
            </w:r>
            <w:r w:rsidRPr="008314D2">
              <w:rPr>
                <w:rFonts w:eastAsia="Calibri" w:cstheme="minorHAnsi"/>
                <w:noProof/>
              </w:rPr>
              <w:t xml:space="preserve"> polymorphisms.</w:t>
            </w:r>
          </w:p>
          <w:p w:rsidR="00F07AA6" w:rsidRPr="008314D2"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utility and considerations for pharmacogenomics testing in the treatment selection for cystic fibrosis patients.</w:t>
            </w:r>
          </w:p>
          <w:p w:rsidR="00F07AA6" w:rsidRDefault="00F07AA6" w:rsidP="00F07AA6">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Discuss evidence-based recommendations for patients with </w:t>
            </w:r>
            <w:r w:rsidRPr="00217C23">
              <w:rPr>
                <w:rFonts w:eastAsia="Calibri" w:cstheme="minorHAnsi"/>
                <w:i/>
                <w:noProof/>
              </w:rPr>
              <w:t>HLA-B*58:01</w:t>
            </w:r>
            <w:r w:rsidRPr="008314D2">
              <w:rPr>
                <w:rFonts w:eastAsia="Calibri" w:cstheme="minorHAnsi"/>
                <w:noProof/>
              </w:rPr>
              <w:t xml:space="preserve"> genetic results considering allopurinol therapy.</w:t>
            </w:r>
          </w:p>
          <w:p w:rsidR="00F07AA6" w:rsidRPr="00217C23" w:rsidRDefault="00F07AA6" w:rsidP="00F07AA6">
            <w:pPr>
              <w:ind w:left="720"/>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p>
        </w:tc>
      </w:tr>
    </w:tbl>
    <w:p w:rsidR="00590860" w:rsidRDefault="00590860" w:rsidP="008314D2">
      <w:pPr>
        <w:pBdr>
          <w:bottom w:val="single" w:sz="6" w:space="1" w:color="auto"/>
        </w:pBdr>
        <w:rPr>
          <w:rFonts w:cstheme="minorHAnsi"/>
          <w:b/>
          <w:color w:val="000099"/>
          <w:sz w:val="24"/>
          <w:szCs w:val="24"/>
        </w:rPr>
      </w:pPr>
    </w:p>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t>Disclosure of Relevant Financial Relationships</w:t>
      </w:r>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lastRenderedPageBreak/>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Participants must participate in the entire activity and complete the evaluation to earn continuing pharmacy education credit.  Follow the prompts online at the ASHP eLearning portal (</w:t>
      </w:r>
      <w:hyperlink r:id="rId8" w:history="1">
        <w:r w:rsidRPr="008314D2">
          <w:rPr>
            <w:rStyle w:val="Hyperlink"/>
            <w:rFonts w:eastAsia="Times New Roman" w:cstheme="minorHAnsi"/>
          </w:rPr>
          <w:t>http://elearning.ashp.org</w:t>
        </w:r>
      </w:hyperlink>
      <w:r w:rsidRPr="008314D2">
        <w:rPr>
          <w:rFonts w:eastAsia="Times New Roman" w:cstheme="minorHAnsi"/>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8314D2">
        <w:rPr>
          <w:rFonts w:eastAsia="Times New Roman" w:cstheme="minorHAnsi"/>
        </w:rPr>
        <w:t>eProfile</w:t>
      </w:r>
      <w:proofErr w:type="spellEnd"/>
      <w:r w:rsidRPr="008314D2">
        <w:rPr>
          <w:rFonts w:eastAsia="Times New Roman" w:cstheme="minorHAnsi"/>
        </w:rPr>
        <w:t xml:space="preserv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822BA0" w:rsidRPr="008314D2" w:rsidRDefault="00822BA0" w:rsidP="008314D2">
      <w:pPr>
        <w:pBdr>
          <w:bottom w:val="single" w:sz="6" w:space="1" w:color="auto"/>
        </w:pBdr>
        <w:rPr>
          <w:rFonts w:eastAsia="Times New Roman" w:cstheme="minorHAnsi"/>
          <w:b/>
          <w:color w:val="000099"/>
          <w:sz w:val="24"/>
          <w:szCs w:val="24"/>
        </w:rPr>
      </w:pPr>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BE2A87"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sectPr w:rsidR="00BE2A87" w:rsidRPr="008314D2" w:rsidSect="00F07AA6">
      <w:headerReference w:type="default" r:id="rId10"/>
      <w:footerReference w:type="default" r:id="rId11"/>
      <w:type w:val="continuous"/>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F07AA6">
      <w:rPr>
        <w:noProof/>
        <w:sz w:val="18"/>
      </w:rPr>
      <w:t>3</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17C23"/>
    <w:rsid w:val="0022335C"/>
    <w:rsid w:val="002B2DD0"/>
    <w:rsid w:val="002C3E60"/>
    <w:rsid w:val="002E7B9E"/>
    <w:rsid w:val="002F4AD8"/>
    <w:rsid w:val="003240FB"/>
    <w:rsid w:val="00341C4D"/>
    <w:rsid w:val="00350B47"/>
    <w:rsid w:val="003720D7"/>
    <w:rsid w:val="003A1819"/>
    <w:rsid w:val="003C4742"/>
    <w:rsid w:val="003E2796"/>
    <w:rsid w:val="003F4C82"/>
    <w:rsid w:val="00401E9B"/>
    <w:rsid w:val="0041030C"/>
    <w:rsid w:val="00415C78"/>
    <w:rsid w:val="00425B98"/>
    <w:rsid w:val="0043149C"/>
    <w:rsid w:val="00452E9A"/>
    <w:rsid w:val="00461C6A"/>
    <w:rsid w:val="0049172C"/>
    <w:rsid w:val="00492840"/>
    <w:rsid w:val="00495032"/>
    <w:rsid w:val="004977A6"/>
    <w:rsid w:val="004D2602"/>
    <w:rsid w:val="004F2F67"/>
    <w:rsid w:val="005116D0"/>
    <w:rsid w:val="005132BC"/>
    <w:rsid w:val="00524D08"/>
    <w:rsid w:val="005412A8"/>
    <w:rsid w:val="005515A9"/>
    <w:rsid w:val="00561C48"/>
    <w:rsid w:val="00570E2A"/>
    <w:rsid w:val="0057383A"/>
    <w:rsid w:val="00585BD9"/>
    <w:rsid w:val="00590860"/>
    <w:rsid w:val="005914D4"/>
    <w:rsid w:val="00593CAF"/>
    <w:rsid w:val="005A15C5"/>
    <w:rsid w:val="005A3920"/>
    <w:rsid w:val="005A6313"/>
    <w:rsid w:val="005B33B1"/>
    <w:rsid w:val="005B7B11"/>
    <w:rsid w:val="005D6704"/>
    <w:rsid w:val="005D6810"/>
    <w:rsid w:val="005E6078"/>
    <w:rsid w:val="00615E2C"/>
    <w:rsid w:val="00694ABA"/>
    <w:rsid w:val="006B6C7C"/>
    <w:rsid w:val="006C577E"/>
    <w:rsid w:val="006F182A"/>
    <w:rsid w:val="00726439"/>
    <w:rsid w:val="0074681A"/>
    <w:rsid w:val="007663BF"/>
    <w:rsid w:val="00773422"/>
    <w:rsid w:val="00791876"/>
    <w:rsid w:val="007A66D6"/>
    <w:rsid w:val="007C0DD9"/>
    <w:rsid w:val="007C4F00"/>
    <w:rsid w:val="007E1E9C"/>
    <w:rsid w:val="00800122"/>
    <w:rsid w:val="00802F5C"/>
    <w:rsid w:val="00806BC4"/>
    <w:rsid w:val="00822BA0"/>
    <w:rsid w:val="00830D05"/>
    <w:rsid w:val="008314D2"/>
    <w:rsid w:val="00852E38"/>
    <w:rsid w:val="00853C5A"/>
    <w:rsid w:val="008C38FC"/>
    <w:rsid w:val="008C4B94"/>
    <w:rsid w:val="008D39EB"/>
    <w:rsid w:val="008F54A4"/>
    <w:rsid w:val="00913422"/>
    <w:rsid w:val="009364C2"/>
    <w:rsid w:val="00956007"/>
    <w:rsid w:val="009810E4"/>
    <w:rsid w:val="00992478"/>
    <w:rsid w:val="009A1E59"/>
    <w:rsid w:val="009A2FAF"/>
    <w:rsid w:val="009A3930"/>
    <w:rsid w:val="009C045B"/>
    <w:rsid w:val="009C6C97"/>
    <w:rsid w:val="009E238B"/>
    <w:rsid w:val="00A0012B"/>
    <w:rsid w:val="00A02575"/>
    <w:rsid w:val="00A02D70"/>
    <w:rsid w:val="00A65745"/>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07AA6"/>
    <w:rsid w:val="00F3086D"/>
    <w:rsid w:val="00F6156B"/>
    <w:rsid w:val="00F90DB1"/>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4809</Characters>
  <Application>Microsoft Office Word</Application>
  <DocSecurity>0</DocSecurity>
  <Lines>120</Lines>
  <Paragraphs>57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3</cp:revision>
  <cp:lastPrinted>2014-03-05T22:00:00Z</cp:lastPrinted>
  <dcterms:created xsi:type="dcterms:W3CDTF">2018-08-29T18:58:00Z</dcterms:created>
  <dcterms:modified xsi:type="dcterms:W3CDTF">2018-08-29T19:01:00Z</dcterms:modified>
</cp:coreProperties>
</file>